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00" w:rsidRDefault="00053F00">
      <w:pPr>
        <w:rPr>
          <w:rFonts w:hint="eastAsia"/>
        </w:rPr>
      </w:pPr>
      <w:r>
        <w:rPr>
          <w:rFonts w:hint="eastAsia"/>
        </w:rPr>
        <w:t>【別紙】探究課題の解決を通して育成を目指す具体的な資質・能力</w:t>
      </w:r>
    </w:p>
    <w:tbl>
      <w:tblPr>
        <w:tblStyle w:val="a7"/>
        <w:tblW w:w="15276" w:type="dxa"/>
        <w:tblLayout w:type="fixed"/>
        <w:tblLook w:val="04A0" w:firstRow="1" w:lastRow="0" w:firstColumn="1" w:lastColumn="0" w:noHBand="0" w:noVBand="1"/>
      </w:tblPr>
      <w:tblGrid>
        <w:gridCol w:w="567"/>
        <w:gridCol w:w="1242"/>
        <w:gridCol w:w="3402"/>
        <w:gridCol w:w="3402"/>
        <w:gridCol w:w="3402"/>
        <w:gridCol w:w="3261"/>
      </w:tblGrid>
      <w:tr w:rsidR="00053F00" w:rsidTr="00053F00">
        <w:tc>
          <w:tcPr>
            <w:tcW w:w="1809" w:type="dxa"/>
            <w:gridSpan w:val="2"/>
            <w:shd w:val="clear" w:color="auto" w:fill="auto"/>
          </w:tcPr>
          <w:p w:rsidR="00053F00" w:rsidRPr="005F78D1" w:rsidRDefault="00053F00" w:rsidP="000471AB">
            <w:pPr>
              <w:jc w:val="center"/>
              <w:rPr>
                <w:sz w:val="18"/>
                <w:szCs w:val="18"/>
              </w:rPr>
            </w:pPr>
            <w:r w:rsidRPr="005F78D1">
              <w:rPr>
                <w:sz w:val="18"/>
                <w:szCs w:val="18"/>
              </w:rPr>
              <w:t>学年</w:t>
            </w:r>
          </w:p>
        </w:tc>
        <w:tc>
          <w:tcPr>
            <w:tcW w:w="3402" w:type="dxa"/>
            <w:shd w:val="clear" w:color="auto" w:fill="auto"/>
          </w:tcPr>
          <w:p w:rsidR="00053F00" w:rsidRPr="005F78D1" w:rsidRDefault="00053F00" w:rsidP="000471AB">
            <w:pPr>
              <w:jc w:val="center"/>
              <w:rPr>
                <w:sz w:val="18"/>
                <w:szCs w:val="18"/>
              </w:rPr>
            </w:pPr>
            <w:r w:rsidRPr="005F78D1">
              <w:rPr>
                <w:sz w:val="18"/>
                <w:szCs w:val="18"/>
              </w:rPr>
              <w:t>３年</w:t>
            </w:r>
          </w:p>
        </w:tc>
        <w:tc>
          <w:tcPr>
            <w:tcW w:w="3402" w:type="dxa"/>
            <w:shd w:val="clear" w:color="auto" w:fill="auto"/>
          </w:tcPr>
          <w:p w:rsidR="00053F00" w:rsidRPr="005F78D1" w:rsidRDefault="00053F00" w:rsidP="000471AB">
            <w:pPr>
              <w:jc w:val="center"/>
              <w:rPr>
                <w:sz w:val="18"/>
                <w:szCs w:val="18"/>
              </w:rPr>
            </w:pPr>
            <w:r w:rsidRPr="005F78D1">
              <w:rPr>
                <w:sz w:val="18"/>
                <w:szCs w:val="18"/>
              </w:rPr>
              <w:t>４年</w:t>
            </w:r>
          </w:p>
        </w:tc>
        <w:tc>
          <w:tcPr>
            <w:tcW w:w="3402" w:type="dxa"/>
            <w:shd w:val="clear" w:color="auto" w:fill="auto"/>
          </w:tcPr>
          <w:p w:rsidR="00053F00" w:rsidRPr="005F78D1" w:rsidRDefault="00053F00" w:rsidP="000471AB">
            <w:pPr>
              <w:jc w:val="center"/>
              <w:rPr>
                <w:sz w:val="18"/>
                <w:szCs w:val="18"/>
              </w:rPr>
            </w:pPr>
            <w:r w:rsidRPr="005F78D1">
              <w:rPr>
                <w:sz w:val="18"/>
                <w:szCs w:val="18"/>
              </w:rPr>
              <w:t>５年</w:t>
            </w:r>
          </w:p>
        </w:tc>
        <w:tc>
          <w:tcPr>
            <w:tcW w:w="3261" w:type="dxa"/>
            <w:shd w:val="clear" w:color="auto" w:fill="auto"/>
          </w:tcPr>
          <w:p w:rsidR="00053F00" w:rsidRPr="005F78D1" w:rsidRDefault="00053F00" w:rsidP="000471AB">
            <w:pPr>
              <w:jc w:val="center"/>
              <w:rPr>
                <w:sz w:val="18"/>
                <w:szCs w:val="18"/>
              </w:rPr>
            </w:pPr>
            <w:r w:rsidRPr="005F78D1">
              <w:rPr>
                <w:sz w:val="18"/>
                <w:szCs w:val="18"/>
              </w:rPr>
              <w:t>６年</w:t>
            </w:r>
          </w:p>
        </w:tc>
      </w:tr>
      <w:tr w:rsidR="00053F00" w:rsidTr="00053F00">
        <w:tc>
          <w:tcPr>
            <w:tcW w:w="1809" w:type="dxa"/>
            <w:gridSpan w:val="2"/>
            <w:shd w:val="clear" w:color="auto" w:fill="auto"/>
          </w:tcPr>
          <w:p w:rsidR="00053F00" w:rsidRPr="005F78D1" w:rsidRDefault="00053F00" w:rsidP="000471AB">
            <w:pPr>
              <w:jc w:val="center"/>
              <w:rPr>
                <w:sz w:val="18"/>
                <w:szCs w:val="18"/>
              </w:rPr>
            </w:pPr>
            <w:r w:rsidRPr="005F78D1">
              <w:rPr>
                <w:sz w:val="18"/>
                <w:szCs w:val="18"/>
              </w:rPr>
              <w:t>テーマ</w:t>
            </w:r>
          </w:p>
        </w:tc>
        <w:tc>
          <w:tcPr>
            <w:tcW w:w="13467" w:type="dxa"/>
            <w:gridSpan w:val="4"/>
            <w:shd w:val="clear" w:color="auto" w:fill="auto"/>
          </w:tcPr>
          <w:p w:rsidR="00053F00" w:rsidRPr="007A569B" w:rsidRDefault="00053F00" w:rsidP="000471AB">
            <w:pPr>
              <w:jc w:val="center"/>
              <w:rPr>
                <w:rFonts w:asciiTheme="minorEastAsia" w:hAnsiTheme="minorEastAsia"/>
                <w:sz w:val="18"/>
                <w:szCs w:val="18"/>
              </w:rPr>
            </w:pPr>
            <w:r>
              <w:rPr>
                <w:rFonts w:asciiTheme="minorEastAsia" w:hAnsiTheme="minorEastAsia" w:hint="eastAsia"/>
                <w:sz w:val="18"/>
                <w:szCs w:val="18"/>
              </w:rPr>
              <w:t>地域</w:t>
            </w:r>
            <w:r w:rsidRPr="007A569B">
              <w:rPr>
                <w:rFonts w:asciiTheme="minorEastAsia" w:hAnsiTheme="minorEastAsia" w:hint="eastAsia"/>
                <w:sz w:val="18"/>
                <w:szCs w:val="18"/>
              </w:rPr>
              <w:t>を愛し，</w:t>
            </w:r>
            <w:r>
              <w:rPr>
                <w:rFonts w:asciiTheme="minorEastAsia" w:hAnsiTheme="minorEastAsia" w:hint="eastAsia"/>
                <w:sz w:val="18"/>
                <w:szCs w:val="18"/>
              </w:rPr>
              <w:t>地域</w:t>
            </w:r>
            <w:r w:rsidRPr="007A569B">
              <w:rPr>
                <w:rFonts w:asciiTheme="minorEastAsia" w:hAnsiTheme="minorEastAsia" w:hint="eastAsia"/>
                <w:sz w:val="18"/>
                <w:szCs w:val="18"/>
              </w:rPr>
              <w:t>の未来を創りだす◆◆っ子</w:t>
            </w:r>
          </w:p>
        </w:tc>
      </w:tr>
      <w:tr w:rsidR="00053F00" w:rsidTr="00053F00">
        <w:tc>
          <w:tcPr>
            <w:tcW w:w="1809" w:type="dxa"/>
            <w:gridSpan w:val="2"/>
            <w:shd w:val="clear" w:color="auto" w:fill="auto"/>
            <w:vAlign w:val="center"/>
          </w:tcPr>
          <w:p w:rsidR="00053F00" w:rsidRPr="00B52005" w:rsidRDefault="00053F00" w:rsidP="000471AB">
            <w:pPr>
              <w:jc w:val="center"/>
              <w:rPr>
                <w:rFonts w:asciiTheme="majorEastAsia" w:eastAsiaTheme="majorEastAsia" w:hAnsiTheme="majorEastAsia"/>
                <w:sz w:val="18"/>
                <w:szCs w:val="18"/>
              </w:rPr>
            </w:pPr>
            <w:r w:rsidRPr="00B52005">
              <w:rPr>
                <w:rFonts w:asciiTheme="majorEastAsia" w:eastAsiaTheme="majorEastAsia" w:hAnsiTheme="majorEastAsia"/>
                <w:sz w:val="18"/>
                <w:szCs w:val="18"/>
              </w:rPr>
              <w:t>探究課題</w:t>
            </w:r>
          </w:p>
        </w:tc>
        <w:tc>
          <w:tcPr>
            <w:tcW w:w="3402" w:type="dxa"/>
            <w:shd w:val="clear" w:color="auto" w:fill="auto"/>
            <w:vAlign w:val="center"/>
          </w:tcPr>
          <w:p w:rsidR="00053F00" w:rsidRPr="00B52005" w:rsidRDefault="00053F00" w:rsidP="00053F00">
            <w:pPr>
              <w:snapToGrid w:val="0"/>
              <w:jc w:val="left"/>
              <w:rPr>
                <w:rFonts w:asciiTheme="majorEastAsia" w:eastAsiaTheme="majorEastAsia" w:hAnsiTheme="majorEastAsia"/>
                <w:sz w:val="16"/>
                <w:szCs w:val="18"/>
              </w:rPr>
            </w:pPr>
            <w:r w:rsidRPr="00C55BCC">
              <w:rPr>
                <w:rFonts w:asciiTheme="minorEastAsia" w:hAnsiTheme="minorEastAsia" w:hint="eastAsia"/>
                <w:sz w:val="16"/>
                <w:szCs w:val="16"/>
              </w:rPr>
              <w:t>ひじきの生産に関わる人々の願いや思いと，それを実現しようとする意義</w:t>
            </w:r>
          </w:p>
        </w:tc>
        <w:tc>
          <w:tcPr>
            <w:tcW w:w="3402" w:type="dxa"/>
            <w:shd w:val="clear" w:color="auto" w:fill="auto"/>
            <w:vAlign w:val="center"/>
          </w:tcPr>
          <w:p w:rsidR="00053F00" w:rsidRPr="00B52005" w:rsidRDefault="00053F00" w:rsidP="00053F00">
            <w:pPr>
              <w:snapToGrid w:val="0"/>
              <w:jc w:val="left"/>
              <w:rPr>
                <w:rFonts w:asciiTheme="majorEastAsia" w:eastAsiaTheme="majorEastAsia" w:hAnsiTheme="majorEastAsia"/>
                <w:sz w:val="16"/>
                <w:szCs w:val="18"/>
              </w:rPr>
            </w:pPr>
            <w:r w:rsidRPr="00C55BCC">
              <w:rPr>
                <w:rFonts w:asciiTheme="minorEastAsia" w:hAnsiTheme="minorEastAsia" w:hint="eastAsia"/>
                <w:sz w:val="16"/>
                <w:szCs w:val="16"/>
              </w:rPr>
              <w:t>番匠川を清流にしたいと活動する人々の願いや思いと，それを実現しようとする意義</w:t>
            </w:r>
          </w:p>
        </w:tc>
        <w:tc>
          <w:tcPr>
            <w:tcW w:w="3402" w:type="dxa"/>
            <w:shd w:val="clear" w:color="auto" w:fill="auto"/>
            <w:vAlign w:val="center"/>
          </w:tcPr>
          <w:p w:rsidR="00053F00" w:rsidRPr="00B52005" w:rsidRDefault="00053F00" w:rsidP="00053F00">
            <w:pPr>
              <w:snapToGrid w:val="0"/>
              <w:jc w:val="left"/>
              <w:rPr>
                <w:rFonts w:asciiTheme="majorEastAsia" w:eastAsiaTheme="majorEastAsia" w:hAnsiTheme="majorEastAsia"/>
                <w:sz w:val="16"/>
                <w:szCs w:val="18"/>
              </w:rPr>
            </w:pPr>
            <w:r w:rsidRPr="00C55BCC">
              <w:rPr>
                <w:rFonts w:asciiTheme="minorEastAsia" w:hAnsiTheme="minorEastAsia" w:hint="eastAsia"/>
                <w:sz w:val="16"/>
                <w:szCs w:val="16"/>
              </w:rPr>
              <w:t>津波から人々を守るための活動の仕組みや価値と，それに携わる人々の努力や創意工夫</w:t>
            </w:r>
          </w:p>
        </w:tc>
        <w:tc>
          <w:tcPr>
            <w:tcW w:w="3261" w:type="dxa"/>
            <w:shd w:val="clear" w:color="auto" w:fill="auto"/>
            <w:vAlign w:val="center"/>
          </w:tcPr>
          <w:p w:rsidR="00053F00" w:rsidRPr="00B52005" w:rsidRDefault="00053F00" w:rsidP="00053F00">
            <w:pPr>
              <w:snapToGrid w:val="0"/>
              <w:jc w:val="left"/>
              <w:rPr>
                <w:rFonts w:asciiTheme="majorEastAsia" w:eastAsiaTheme="majorEastAsia" w:hAnsiTheme="majorEastAsia"/>
                <w:sz w:val="16"/>
                <w:szCs w:val="18"/>
              </w:rPr>
            </w:pPr>
            <w:r w:rsidRPr="00C55BCC">
              <w:rPr>
                <w:rFonts w:asciiTheme="minorEastAsia" w:hAnsiTheme="minorEastAsia" w:hint="eastAsia"/>
                <w:sz w:val="16"/>
                <w:szCs w:val="16"/>
              </w:rPr>
              <w:t>「食のスター誕生」の取り組みの仕組みや価値とそれに携わる人々の努力や創意工夫</w:t>
            </w:r>
          </w:p>
        </w:tc>
      </w:tr>
      <w:tr w:rsidR="00053F00" w:rsidTr="00053F00">
        <w:trPr>
          <w:cantSplit/>
          <w:trHeight w:val="570"/>
        </w:trPr>
        <w:tc>
          <w:tcPr>
            <w:tcW w:w="1809" w:type="dxa"/>
            <w:gridSpan w:val="2"/>
            <w:vMerge w:val="restart"/>
            <w:shd w:val="clear" w:color="auto" w:fill="auto"/>
            <w:vAlign w:val="center"/>
          </w:tcPr>
          <w:p w:rsidR="00053F00" w:rsidRPr="00B52005" w:rsidRDefault="00053F00" w:rsidP="000471AB">
            <w:pPr>
              <w:jc w:val="center"/>
              <w:rPr>
                <w:rFonts w:asciiTheme="majorEastAsia" w:eastAsiaTheme="majorEastAsia" w:hAnsiTheme="majorEastAsia"/>
                <w:sz w:val="20"/>
                <w:szCs w:val="20"/>
              </w:rPr>
            </w:pPr>
            <w:r w:rsidRPr="00B52005">
              <w:rPr>
                <w:rFonts w:asciiTheme="majorEastAsia" w:eastAsiaTheme="majorEastAsia" w:hAnsiTheme="majorEastAsia" w:hint="eastAsia"/>
                <w:sz w:val="20"/>
                <w:szCs w:val="20"/>
              </w:rPr>
              <w:t>知識及び技能</w:t>
            </w:r>
          </w:p>
        </w:tc>
        <w:tc>
          <w:tcPr>
            <w:tcW w:w="3402" w:type="dxa"/>
            <w:shd w:val="clear" w:color="auto" w:fill="auto"/>
          </w:tcPr>
          <w:p w:rsidR="00053F00" w:rsidRPr="00053F00" w:rsidRDefault="00053F00" w:rsidP="00053F00">
            <w:pPr>
              <w:snapToGrid w:val="0"/>
              <w:rPr>
                <w:rFonts w:hint="eastAsia"/>
                <w:sz w:val="18"/>
                <w:szCs w:val="18"/>
              </w:rPr>
            </w:pPr>
            <w:r w:rsidRPr="00053F00">
              <w:rPr>
                <w:rFonts w:hint="eastAsia"/>
                <w:sz w:val="18"/>
                <w:szCs w:val="18"/>
              </w:rPr>
              <w:t>〇ひじきの生産に関わる</w:t>
            </w:r>
            <w:r w:rsidRPr="00053F00">
              <w:rPr>
                <w:rFonts w:hint="eastAsia"/>
                <w:sz w:val="18"/>
                <w:szCs w:val="18"/>
              </w:rPr>
              <w:t>A</w:t>
            </w:r>
            <w:r w:rsidRPr="00053F00">
              <w:rPr>
                <w:rFonts w:hint="eastAsia"/>
                <w:sz w:val="18"/>
                <w:szCs w:val="18"/>
              </w:rPr>
              <w:t>さんが，健康食品としてのひじきのよさを発信したり，様々なレシピを紹介したりしていること。</w:t>
            </w:r>
          </w:p>
          <w:p w:rsidR="00053F00" w:rsidRPr="00053F00" w:rsidRDefault="00053F00" w:rsidP="00053F00">
            <w:pPr>
              <w:snapToGrid w:val="0"/>
              <w:rPr>
                <w:rFonts w:hint="eastAsia"/>
                <w:sz w:val="18"/>
                <w:szCs w:val="18"/>
              </w:rPr>
            </w:pPr>
            <w:r w:rsidRPr="00053F00">
              <w:rPr>
                <w:rFonts w:hint="eastAsia"/>
                <w:sz w:val="18"/>
                <w:szCs w:val="18"/>
              </w:rPr>
              <w:t>〇ひじきを生産する人，販売する人，消費する人といった様々な立場の人が存在すること。（多様性）</w:t>
            </w:r>
          </w:p>
          <w:p w:rsidR="00053F00" w:rsidRPr="00053F00" w:rsidRDefault="00053F00" w:rsidP="00053F00">
            <w:pPr>
              <w:snapToGrid w:val="0"/>
              <w:rPr>
                <w:rFonts w:hint="eastAsia"/>
                <w:sz w:val="18"/>
                <w:szCs w:val="18"/>
              </w:rPr>
            </w:pPr>
            <w:r w:rsidRPr="00053F00">
              <w:rPr>
                <w:rFonts w:hint="eastAsia"/>
                <w:sz w:val="18"/>
                <w:szCs w:val="18"/>
              </w:rPr>
              <w:t>〇商品は，多様な立場の人々の需要や供給のバランスによって成り立っていること（相互性）</w:t>
            </w:r>
          </w:p>
          <w:p w:rsidR="00053F00" w:rsidRPr="005F78D1" w:rsidRDefault="00053F00" w:rsidP="00053F00">
            <w:pPr>
              <w:snapToGrid w:val="0"/>
              <w:rPr>
                <w:sz w:val="18"/>
                <w:szCs w:val="18"/>
              </w:rPr>
            </w:pPr>
            <w:r w:rsidRPr="00053F00">
              <w:rPr>
                <w:rFonts w:hint="eastAsia"/>
                <w:sz w:val="18"/>
                <w:szCs w:val="18"/>
              </w:rPr>
              <w:t>〇我が国の水産業は様々な課題を抱えており，その課題が自分たちの生活と関わっていることなど</w:t>
            </w:r>
            <w:r>
              <w:rPr>
                <w:rFonts w:hint="eastAsia"/>
                <w:sz w:val="18"/>
                <w:szCs w:val="18"/>
              </w:rPr>
              <w:t>が分かる。</w:t>
            </w:r>
          </w:p>
        </w:tc>
        <w:tc>
          <w:tcPr>
            <w:tcW w:w="3402" w:type="dxa"/>
            <w:shd w:val="clear" w:color="auto" w:fill="auto"/>
          </w:tcPr>
          <w:p w:rsidR="00053F00" w:rsidRPr="00053F00" w:rsidRDefault="00053F00" w:rsidP="00053F00">
            <w:pPr>
              <w:snapToGrid w:val="0"/>
              <w:rPr>
                <w:rFonts w:hint="eastAsia"/>
                <w:sz w:val="18"/>
                <w:szCs w:val="18"/>
              </w:rPr>
            </w:pPr>
            <w:r>
              <w:rPr>
                <w:rFonts w:hint="eastAsia"/>
                <w:sz w:val="18"/>
                <w:szCs w:val="18"/>
              </w:rPr>
              <w:t>〇番匠川</w:t>
            </w:r>
            <w:r w:rsidRPr="00053F00">
              <w:rPr>
                <w:rFonts w:hint="eastAsia"/>
                <w:sz w:val="18"/>
                <w:szCs w:val="18"/>
              </w:rPr>
              <w:t>の</w:t>
            </w:r>
            <w:r>
              <w:rPr>
                <w:rFonts w:hint="eastAsia"/>
                <w:sz w:val="18"/>
                <w:szCs w:val="18"/>
              </w:rPr>
              <w:t>環境保全</w:t>
            </w:r>
            <w:r w:rsidRPr="00053F00">
              <w:rPr>
                <w:rFonts w:hint="eastAsia"/>
                <w:sz w:val="18"/>
                <w:szCs w:val="18"/>
              </w:rPr>
              <w:t>に関わる</w:t>
            </w:r>
            <w:r>
              <w:rPr>
                <w:rFonts w:hint="eastAsia"/>
                <w:sz w:val="18"/>
                <w:szCs w:val="18"/>
              </w:rPr>
              <w:t>B</w:t>
            </w:r>
            <w:r>
              <w:rPr>
                <w:rFonts w:hint="eastAsia"/>
                <w:sz w:val="18"/>
                <w:szCs w:val="18"/>
              </w:rPr>
              <w:t>さんが，番匠川の魅力を発信する</w:t>
            </w:r>
            <w:r w:rsidR="00E742CB">
              <w:rPr>
                <w:rFonts w:hint="eastAsia"/>
                <w:sz w:val="18"/>
                <w:szCs w:val="18"/>
              </w:rPr>
              <w:t>活動</w:t>
            </w:r>
            <w:r>
              <w:rPr>
                <w:rFonts w:hint="eastAsia"/>
                <w:sz w:val="18"/>
                <w:szCs w:val="18"/>
              </w:rPr>
              <w:t>を継続していること。</w:t>
            </w:r>
          </w:p>
          <w:p w:rsidR="00053F00" w:rsidRPr="00053F00" w:rsidRDefault="00053F00" w:rsidP="00053F00">
            <w:pPr>
              <w:snapToGrid w:val="0"/>
              <w:rPr>
                <w:rFonts w:hint="eastAsia"/>
                <w:sz w:val="18"/>
                <w:szCs w:val="18"/>
              </w:rPr>
            </w:pPr>
            <w:r w:rsidRPr="00053F00">
              <w:rPr>
                <w:rFonts w:hint="eastAsia"/>
                <w:sz w:val="18"/>
                <w:szCs w:val="18"/>
              </w:rPr>
              <w:t>〇</w:t>
            </w:r>
            <w:r>
              <w:rPr>
                <w:rFonts w:hint="eastAsia"/>
                <w:sz w:val="18"/>
                <w:szCs w:val="18"/>
              </w:rPr>
              <w:t>番匠川</w:t>
            </w:r>
            <w:r w:rsidR="00E742CB">
              <w:rPr>
                <w:rFonts w:hint="eastAsia"/>
                <w:sz w:val="18"/>
                <w:szCs w:val="18"/>
              </w:rPr>
              <w:t>の環境保全に取り組む人，番匠川で漁をする人</w:t>
            </w:r>
            <w:r w:rsidRPr="00053F00">
              <w:rPr>
                <w:rFonts w:hint="eastAsia"/>
                <w:sz w:val="18"/>
                <w:szCs w:val="18"/>
              </w:rPr>
              <w:t>，</w:t>
            </w:r>
            <w:r w:rsidR="00E742CB">
              <w:rPr>
                <w:rFonts w:hint="eastAsia"/>
                <w:sz w:val="18"/>
                <w:szCs w:val="18"/>
              </w:rPr>
              <w:t>番匠川の生き物を展示する</w:t>
            </w:r>
            <w:r w:rsidRPr="00053F00">
              <w:rPr>
                <w:rFonts w:hint="eastAsia"/>
                <w:sz w:val="18"/>
                <w:szCs w:val="18"/>
              </w:rPr>
              <w:t>人といった様々な立場の人が存在すること。（多様性）</w:t>
            </w:r>
          </w:p>
          <w:p w:rsidR="0040738F" w:rsidRDefault="00053F00" w:rsidP="00053F00">
            <w:pPr>
              <w:snapToGrid w:val="0"/>
              <w:rPr>
                <w:rFonts w:hint="eastAsia"/>
                <w:sz w:val="18"/>
                <w:szCs w:val="18"/>
              </w:rPr>
            </w:pPr>
            <w:r w:rsidRPr="00053F00">
              <w:rPr>
                <w:rFonts w:hint="eastAsia"/>
                <w:sz w:val="18"/>
                <w:szCs w:val="18"/>
              </w:rPr>
              <w:t>〇</w:t>
            </w:r>
            <w:r w:rsidR="00E742CB">
              <w:rPr>
                <w:rFonts w:hint="eastAsia"/>
                <w:sz w:val="18"/>
                <w:szCs w:val="18"/>
              </w:rPr>
              <w:t>番匠川</w:t>
            </w:r>
            <w:r w:rsidRPr="00053F00">
              <w:rPr>
                <w:rFonts w:hint="eastAsia"/>
                <w:sz w:val="18"/>
                <w:szCs w:val="18"/>
              </w:rPr>
              <w:t>は，多様な</w:t>
            </w:r>
            <w:r w:rsidR="00E742CB">
              <w:rPr>
                <w:rFonts w:hint="eastAsia"/>
                <w:sz w:val="18"/>
                <w:szCs w:val="18"/>
              </w:rPr>
              <w:t>生物がその環境と関わって生きていること</w:t>
            </w:r>
            <w:r w:rsidRPr="00053F00">
              <w:rPr>
                <w:rFonts w:hint="eastAsia"/>
                <w:sz w:val="18"/>
                <w:szCs w:val="18"/>
              </w:rPr>
              <w:t>（相互性）</w:t>
            </w:r>
          </w:p>
          <w:p w:rsidR="0040738F" w:rsidRDefault="0040738F" w:rsidP="0040738F">
            <w:pPr>
              <w:snapToGrid w:val="0"/>
              <w:rPr>
                <w:rFonts w:hint="eastAsia"/>
                <w:sz w:val="18"/>
                <w:szCs w:val="18"/>
              </w:rPr>
            </w:pPr>
            <w:r w:rsidRPr="00053F00">
              <w:rPr>
                <w:rFonts w:hint="eastAsia"/>
                <w:sz w:val="18"/>
                <w:szCs w:val="18"/>
              </w:rPr>
              <w:t>〇</w:t>
            </w:r>
            <w:r>
              <w:rPr>
                <w:rFonts w:hint="eastAsia"/>
                <w:sz w:val="18"/>
                <w:szCs w:val="18"/>
              </w:rPr>
              <w:t>番匠川の</w:t>
            </w:r>
            <w:r w:rsidRPr="0040738F">
              <w:rPr>
                <w:rFonts w:hint="eastAsia"/>
                <w:sz w:val="18"/>
                <w:szCs w:val="18"/>
              </w:rPr>
              <w:t>環境は，様々な要因で常に変化する可能性があり，一定ではないこと（有限性）</w:t>
            </w:r>
          </w:p>
          <w:p w:rsidR="00053F00" w:rsidRPr="00817DC4" w:rsidRDefault="00053F00" w:rsidP="00053F00">
            <w:pPr>
              <w:snapToGrid w:val="0"/>
              <w:rPr>
                <w:sz w:val="18"/>
                <w:szCs w:val="18"/>
              </w:rPr>
            </w:pPr>
            <w:r w:rsidRPr="00053F00">
              <w:rPr>
                <w:rFonts w:hint="eastAsia"/>
                <w:sz w:val="18"/>
                <w:szCs w:val="18"/>
              </w:rPr>
              <w:t>など</w:t>
            </w:r>
            <w:r>
              <w:rPr>
                <w:rFonts w:hint="eastAsia"/>
                <w:sz w:val="18"/>
                <w:szCs w:val="18"/>
              </w:rPr>
              <w:t>が分かる。</w:t>
            </w:r>
          </w:p>
        </w:tc>
        <w:tc>
          <w:tcPr>
            <w:tcW w:w="3402" w:type="dxa"/>
            <w:shd w:val="clear" w:color="auto" w:fill="auto"/>
          </w:tcPr>
          <w:p w:rsidR="0040738F" w:rsidRDefault="0040738F" w:rsidP="0040738F">
            <w:pPr>
              <w:snapToGrid w:val="0"/>
              <w:rPr>
                <w:rFonts w:hint="eastAsia"/>
                <w:sz w:val="18"/>
                <w:szCs w:val="18"/>
              </w:rPr>
            </w:pPr>
            <w:r w:rsidRPr="00053F00">
              <w:rPr>
                <w:rFonts w:hint="eastAsia"/>
                <w:sz w:val="18"/>
                <w:szCs w:val="18"/>
              </w:rPr>
              <w:t>〇</w:t>
            </w:r>
            <w:r>
              <w:rPr>
                <w:rFonts w:hint="eastAsia"/>
                <w:sz w:val="18"/>
                <w:szCs w:val="18"/>
              </w:rPr>
              <w:t>津波から自分たちの身を守るための取組が，行政，各家庭などによって進められ，それぞれが関わり合いながら役割を果たしていること。</w:t>
            </w:r>
          </w:p>
          <w:p w:rsidR="0040738F" w:rsidRDefault="0040738F" w:rsidP="0040738F">
            <w:pPr>
              <w:snapToGrid w:val="0"/>
              <w:rPr>
                <w:rFonts w:hint="eastAsia"/>
                <w:sz w:val="18"/>
                <w:szCs w:val="18"/>
              </w:rPr>
            </w:pPr>
            <w:r w:rsidRPr="00053F00">
              <w:rPr>
                <w:rFonts w:hint="eastAsia"/>
                <w:sz w:val="18"/>
                <w:szCs w:val="18"/>
              </w:rPr>
              <w:t>〇</w:t>
            </w:r>
            <w:r w:rsidR="008B200B">
              <w:rPr>
                <w:rFonts w:hint="eastAsia"/>
                <w:sz w:val="18"/>
                <w:szCs w:val="18"/>
              </w:rPr>
              <w:t>津波から身を守るためには，その時だけでなく，日頃から地域や周囲の人々と関わっておくことが大切になること。</w:t>
            </w:r>
          </w:p>
          <w:p w:rsidR="008B200B" w:rsidRPr="005F78D1" w:rsidRDefault="008B200B" w:rsidP="0040738F">
            <w:pPr>
              <w:snapToGrid w:val="0"/>
              <w:rPr>
                <w:sz w:val="18"/>
                <w:szCs w:val="18"/>
              </w:rPr>
            </w:pPr>
            <w:r w:rsidRPr="00053F00">
              <w:rPr>
                <w:rFonts w:hint="eastAsia"/>
                <w:sz w:val="18"/>
                <w:szCs w:val="18"/>
              </w:rPr>
              <w:t>〇</w:t>
            </w:r>
            <w:r w:rsidR="00A33353">
              <w:rPr>
                <w:rFonts w:hint="eastAsia"/>
                <w:sz w:val="18"/>
                <w:szCs w:val="18"/>
              </w:rPr>
              <w:t>津波に限らず，災害による被害をできるだけ少なくするには，一人一人が自ら取り組む「自助」が大切であり，安全対策や身の安全の守り方を知っておくことが必要であることなどが分かる。</w:t>
            </w:r>
          </w:p>
          <w:p w:rsidR="00053F00" w:rsidRPr="005F78D1" w:rsidRDefault="00053F00" w:rsidP="0040738F">
            <w:pPr>
              <w:snapToGrid w:val="0"/>
              <w:rPr>
                <w:sz w:val="18"/>
                <w:szCs w:val="18"/>
              </w:rPr>
            </w:pPr>
          </w:p>
        </w:tc>
        <w:tc>
          <w:tcPr>
            <w:tcW w:w="3261" w:type="dxa"/>
            <w:shd w:val="clear" w:color="auto" w:fill="auto"/>
          </w:tcPr>
          <w:p w:rsidR="00000088" w:rsidRPr="00053F00" w:rsidRDefault="00000088" w:rsidP="00000088">
            <w:pPr>
              <w:snapToGrid w:val="0"/>
              <w:rPr>
                <w:rFonts w:hint="eastAsia"/>
                <w:sz w:val="18"/>
                <w:szCs w:val="18"/>
              </w:rPr>
            </w:pPr>
            <w:r>
              <w:rPr>
                <w:rFonts w:hint="eastAsia"/>
                <w:sz w:val="18"/>
                <w:szCs w:val="18"/>
              </w:rPr>
              <w:t>〇</w:t>
            </w:r>
            <w:r>
              <w:rPr>
                <w:rFonts w:hint="eastAsia"/>
                <w:sz w:val="18"/>
                <w:szCs w:val="18"/>
              </w:rPr>
              <w:t>「食のスター誕生」の取組によって，地域の特産物などが周知されるとともに，それを通して地域を</w:t>
            </w:r>
            <w:r>
              <w:rPr>
                <w:rFonts w:hint="eastAsia"/>
                <w:sz w:val="18"/>
                <w:szCs w:val="18"/>
              </w:rPr>
              <w:t>PR</w:t>
            </w:r>
            <w:r>
              <w:rPr>
                <w:rFonts w:hint="eastAsia"/>
                <w:sz w:val="18"/>
                <w:szCs w:val="18"/>
              </w:rPr>
              <w:t>することにつながっていること。</w:t>
            </w:r>
          </w:p>
          <w:p w:rsidR="00000088" w:rsidRDefault="00000088" w:rsidP="00000088">
            <w:pPr>
              <w:snapToGrid w:val="0"/>
              <w:rPr>
                <w:rFonts w:hint="eastAsia"/>
                <w:sz w:val="18"/>
                <w:szCs w:val="18"/>
              </w:rPr>
            </w:pPr>
            <w:r w:rsidRPr="00053F00">
              <w:rPr>
                <w:rFonts w:hint="eastAsia"/>
                <w:sz w:val="18"/>
                <w:szCs w:val="18"/>
              </w:rPr>
              <w:t>〇</w:t>
            </w:r>
            <w:r>
              <w:rPr>
                <w:rFonts w:hint="eastAsia"/>
                <w:sz w:val="18"/>
                <w:szCs w:val="18"/>
              </w:rPr>
              <w:t>「食のスター誕生」の取組に携わる人や，それに出品する人，参加する人といった様々な立場の人が存在すること。</w:t>
            </w:r>
          </w:p>
          <w:p w:rsidR="00000088" w:rsidRPr="00053F00" w:rsidRDefault="00000088" w:rsidP="00000088">
            <w:pPr>
              <w:snapToGrid w:val="0"/>
              <w:rPr>
                <w:rFonts w:hint="eastAsia"/>
                <w:sz w:val="18"/>
                <w:szCs w:val="18"/>
              </w:rPr>
            </w:pPr>
            <w:r w:rsidRPr="00053F00">
              <w:rPr>
                <w:rFonts w:hint="eastAsia"/>
                <w:sz w:val="18"/>
                <w:szCs w:val="18"/>
              </w:rPr>
              <w:t>〇</w:t>
            </w:r>
            <w:r>
              <w:rPr>
                <w:rFonts w:hint="eastAsia"/>
                <w:sz w:val="18"/>
                <w:szCs w:val="18"/>
              </w:rPr>
              <w:t>地域の特産品を</w:t>
            </w:r>
            <w:r>
              <w:rPr>
                <w:rFonts w:hint="eastAsia"/>
                <w:sz w:val="18"/>
                <w:szCs w:val="18"/>
              </w:rPr>
              <w:t>PR</w:t>
            </w:r>
            <w:r>
              <w:rPr>
                <w:rFonts w:hint="eastAsia"/>
                <w:sz w:val="18"/>
                <w:szCs w:val="18"/>
              </w:rPr>
              <w:t>するためのアイディアや具体的な取組，参加する人々を増やしたり楽しませたりするための工夫があることなどが分かる。</w:t>
            </w:r>
            <w:bookmarkStart w:id="0" w:name="_GoBack"/>
            <w:bookmarkEnd w:id="0"/>
          </w:p>
          <w:p w:rsidR="00053F00" w:rsidRPr="005F78D1" w:rsidRDefault="00053F00" w:rsidP="00053F00">
            <w:pPr>
              <w:snapToGrid w:val="0"/>
              <w:rPr>
                <w:sz w:val="18"/>
                <w:szCs w:val="18"/>
              </w:rPr>
            </w:pPr>
          </w:p>
        </w:tc>
      </w:tr>
      <w:tr w:rsidR="00053F00" w:rsidTr="00053F00">
        <w:trPr>
          <w:cantSplit/>
          <w:trHeight w:val="241"/>
        </w:trPr>
        <w:tc>
          <w:tcPr>
            <w:tcW w:w="1809" w:type="dxa"/>
            <w:gridSpan w:val="2"/>
            <w:vMerge/>
            <w:shd w:val="clear" w:color="auto" w:fill="auto"/>
          </w:tcPr>
          <w:p w:rsidR="00053F00" w:rsidRPr="00B52005" w:rsidRDefault="00053F00" w:rsidP="000471AB">
            <w:pPr>
              <w:rPr>
                <w:rFonts w:asciiTheme="majorEastAsia" w:eastAsiaTheme="majorEastAsia" w:hAnsiTheme="majorEastAsia"/>
                <w:sz w:val="20"/>
                <w:szCs w:val="20"/>
              </w:rPr>
            </w:pPr>
          </w:p>
        </w:tc>
        <w:tc>
          <w:tcPr>
            <w:tcW w:w="6804" w:type="dxa"/>
            <w:gridSpan w:val="2"/>
            <w:shd w:val="clear" w:color="auto" w:fill="auto"/>
          </w:tcPr>
          <w:p w:rsidR="00053F00" w:rsidRPr="007E1037" w:rsidRDefault="00053F00" w:rsidP="00053F00">
            <w:pPr>
              <w:snapToGrid w:val="0"/>
              <w:rPr>
                <w:sz w:val="20"/>
                <w:szCs w:val="20"/>
              </w:rPr>
            </w:pPr>
            <w:r>
              <w:rPr>
                <w:rFonts w:hint="eastAsia"/>
                <w:sz w:val="18"/>
              </w:rPr>
              <w:t>情報を比較・分類するなど，探究の過程に応じた技能を身に付けている。</w:t>
            </w:r>
          </w:p>
        </w:tc>
        <w:tc>
          <w:tcPr>
            <w:tcW w:w="6663" w:type="dxa"/>
            <w:gridSpan w:val="2"/>
            <w:shd w:val="clear" w:color="auto" w:fill="auto"/>
          </w:tcPr>
          <w:p w:rsidR="00053F00" w:rsidRPr="007E1037" w:rsidRDefault="00053F00" w:rsidP="00053F00">
            <w:pPr>
              <w:snapToGrid w:val="0"/>
              <w:rPr>
                <w:sz w:val="20"/>
                <w:szCs w:val="20"/>
              </w:rPr>
            </w:pPr>
            <w:r>
              <w:rPr>
                <w:rFonts w:hint="eastAsia"/>
                <w:sz w:val="18"/>
              </w:rPr>
              <w:t>情報を比較・分類・関連付けるなど，探究の過程に応じた技能を身に付けている。</w:t>
            </w:r>
          </w:p>
        </w:tc>
      </w:tr>
      <w:tr w:rsidR="00053F00" w:rsidTr="00053F00">
        <w:trPr>
          <w:cantSplit/>
          <w:trHeight w:val="485"/>
        </w:trPr>
        <w:tc>
          <w:tcPr>
            <w:tcW w:w="567" w:type="dxa"/>
            <w:vMerge w:val="restart"/>
            <w:shd w:val="clear" w:color="auto" w:fill="auto"/>
            <w:textDirection w:val="tbRlV"/>
            <w:vAlign w:val="center"/>
          </w:tcPr>
          <w:p w:rsidR="00053F00" w:rsidRPr="00B52005" w:rsidRDefault="00053F00" w:rsidP="000471AB">
            <w:pPr>
              <w:ind w:left="113" w:right="113"/>
              <w:jc w:val="center"/>
              <w:rPr>
                <w:rFonts w:asciiTheme="majorEastAsia" w:eastAsiaTheme="majorEastAsia" w:hAnsiTheme="majorEastAsia"/>
                <w:sz w:val="20"/>
                <w:szCs w:val="20"/>
              </w:rPr>
            </w:pPr>
            <w:r w:rsidRPr="00053F00">
              <w:rPr>
                <w:rFonts w:asciiTheme="majorEastAsia" w:eastAsiaTheme="majorEastAsia" w:hAnsiTheme="majorEastAsia" w:hint="eastAsia"/>
                <w:sz w:val="18"/>
                <w:szCs w:val="20"/>
              </w:rPr>
              <w:t>思考力，</w:t>
            </w:r>
            <w:r w:rsidRPr="00053F00">
              <w:rPr>
                <w:rFonts w:asciiTheme="majorEastAsia" w:eastAsiaTheme="majorEastAsia" w:hAnsiTheme="majorEastAsia"/>
                <w:sz w:val="18"/>
                <w:szCs w:val="20"/>
              </w:rPr>
              <w:t>判断力，表現力</w:t>
            </w:r>
            <w:r w:rsidRPr="00053F00">
              <w:rPr>
                <w:rFonts w:asciiTheme="majorEastAsia" w:eastAsiaTheme="majorEastAsia" w:hAnsiTheme="majorEastAsia" w:hint="eastAsia"/>
                <w:sz w:val="18"/>
                <w:szCs w:val="20"/>
              </w:rPr>
              <w:t>等</w:t>
            </w:r>
          </w:p>
        </w:tc>
        <w:tc>
          <w:tcPr>
            <w:tcW w:w="1242" w:type="dxa"/>
            <w:shd w:val="clear" w:color="auto" w:fill="auto"/>
            <w:vAlign w:val="center"/>
          </w:tcPr>
          <w:p w:rsidR="00053F00" w:rsidRPr="007E1037" w:rsidRDefault="00053F00" w:rsidP="000471AB">
            <w:pPr>
              <w:rPr>
                <w:sz w:val="20"/>
                <w:szCs w:val="20"/>
              </w:rPr>
            </w:pPr>
            <w:r w:rsidRPr="007E1037">
              <w:rPr>
                <w:sz w:val="20"/>
                <w:szCs w:val="20"/>
              </w:rPr>
              <w:t>課題の設定</w:t>
            </w:r>
          </w:p>
        </w:tc>
        <w:tc>
          <w:tcPr>
            <w:tcW w:w="6804" w:type="dxa"/>
            <w:gridSpan w:val="2"/>
            <w:shd w:val="clear" w:color="auto" w:fill="auto"/>
            <w:vAlign w:val="center"/>
          </w:tcPr>
          <w:p w:rsidR="00053F00" w:rsidRPr="007E1037" w:rsidRDefault="00053F00" w:rsidP="00053F00">
            <w:pPr>
              <w:snapToGrid w:val="0"/>
              <w:rPr>
                <w:sz w:val="20"/>
                <w:szCs w:val="20"/>
              </w:rPr>
            </w:pPr>
            <w:r>
              <w:rPr>
                <w:rFonts w:hint="eastAsia"/>
                <w:sz w:val="18"/>
              </w:rPr>
              <w:t>自分の関心から地域についての課題を設定し，解決方法を考えて追究している。</w:t>
            </w:r>
          </w:p>
        </w:tc>
        <w:tc>
          <w:tcPr>
            <w:tcW w:w="6663" w:type="dxa"/>
            <w:gridSpan w:val="2"/>
            <w:shd w:val="clear" w:color="auto" w:fill="auto"/>
            <w:vAlign w:val="center"/>
          </w:tcPr>
          <w:p w:rsidR="00053F00" w:rsidRPr="007E1037" w:rsidRDefault="00053F00" w:rsidP="00053F00">
            <w:pPr>
              <w:snapToGrid w:val="0"/>
              <w:rPr>
                <w:sz w:val="20"/>
                <w:szCs w:val="20"/>
              </w:rPr>
            </w:pPr>
            <w:r>
              <w:rPr>
                <w:rFonts w:hint="eastAsia"/>
                <w:sz w:val="18"/>
              </w:rPr>
              <w:t>地域の人々等の思いをふまえて課題を設定し，解決方法や手順を考え，見通しを持って追究している。</w:t>
            </w:r>
          </w:p>
        </w:tc>
      </w:tr>
      <w:tr w:rsidR="00053F00" w:rsidTr="00053F00">
        <w:trPr>
          <w:cantSplit/>
          <w:trHeight w:val="563"/>
        </w:trPr>
        <w:tc>
          <w:tcPr>
            <w:tcW w:w="567" w:type="dxa"/>
            <w:vMerge/>
            <w:shd w:val="clear" w:color="auto" w:fill="auto"/>
          </w:tcPr>
          <w:p w:rsidR="00053F00" w:rsidRPr="00B52005" w:rsidRDefault="00053F00" w:rsidP="000471AB">
            <w:pPr>
              <w:rPr>
                <w:rFonts w:asciiTheme="majorEastAsia" w:eastAsiaTheme="majorEastAsia" w:hAnsiTheme="majorEastAsia"/>
                <w:sz w:val="20"/>
                <w:szCs w:val="20"/>
              </w:rPr>
            </w:pPr>
          </w:p>
        </w:tc>
        <w:tc>
          <w:tcPr>
            <w:tcW w:w="1242" w:type="dxa"/>
            <w:shd w:val="clear" w:color="auto" w:fill="auto"/>
            <w:vAlign w:val="center"/>
          </w:tcPr>
          <w:p w:rsidR="00053F00" w:rsidRPr="007E1037" w:rsidRDefault="00053F00" w:rsidP="000471AB">
            <w:pPr>
              <w:rPr>
                <w:sz w:val="20"/>
                <w:szCs w:val="20"/>
              </w:rPr>
            </w:pPr>
            <w:r w:rsidRPr="007E1037">
              <w:rPr>
                <w:sz w:val="20"/>
                <w:szCs w:val="20"/>
              </w:rPr>
              <w:t>情報の収集</w:t>
            </w:r>
          </w:p>
        </w:tc>
        <w:tc>
          <w:tcPr>
            <w:tcW w:w="6804" w:type="dxa"/>
            <w:gridSpan w:val="2"/>
            <w:shd w:val="clear" w:color="auto" w:fill="auto"/>
            <w:vAlign w:val="center"/>
          </w:tcPr>
          <w:p w:rsidR="00053F00" w:rsidRPr="007E1037" w:rsidRDefault="00053F00" w:rsidP="00053F00">
            <w:pPr>
              <w:snapToGrid w:val="0"/>
              <w:rPr>
                <w:sz w:val="20"/>
                <w:szCs w:val="20"/>
              </w:rPr>
            </w:pPr>
            <w:r>
              <w:rPr>
                <w:rFonts w:hint="eastAsia"/>
                <w:sz w:val="18"/>
              </w:rPr>
              <w:t>目的に応じた対象を決め，自分たちの身近なところから情報を集めている。</w:t>
            </w:r>
          </w:p>
        </w:tc>
        <w:tc>
          <w:tcPr>
            <w:tcW w:w="6663" w:type="dxa"/>
            <w:gridSpan w:val="2"/>
            <w:shd w:val="clear" w:color="auto" w:fill="auto"/>
            <w:vAlign w:val="center"/>
          </w:tcPr>
          <w:p w:rsidR="00053F00" w:rsidRPr="007E1037" w:rsidRDefault="00053F00" w:rsidP="00053F00">
            <w:pPr>
              <w:snapToGrid w:val="0"/>
              <w:rPr>
                <w:sz w:val="20"/>
                <w:szCs w:val="20"/>
              </w:rPr>
            </w:pPr>
            <w:r>
              <w:rPr>
                <w:rFonts w:hint="eastAsia"/>
                <w:sz w:val="18"/>
              </w:rPr>
              <w:t>目的に応じて手段を選択し，情報を収集したり，必要な情報を選んだりしている。</w:t>
            </w:r>
          </w:p>
        </w:tc>
      </w:tr>
      <w:tr w:rsidR="00053F00" w:rsidTr="00053F00">
        <w:trPr>
          <w:cantSplit/>
          <w:trHeight w:val="673"/>
        </w:trPr>
        <w:tc>
          <w:tcPr>
            <w:tcW w:w="567" w:type="dxa"/>
            <w:vMerge/>
            <w:shd w:val="clear" w:color="auto" w:fill="auto"/>
          </w:tcPr>
          <w:p w:rsidR="00053F00" w:rsidRPr="00B52005" w:rsidRDefault="00053F00" w:rsidP="000471AB">
            <w:pPr>
              <w:rPr>
                <w:rFonts w:asciiTheme="majorEastAsia" w:eastAsiaTheme="majorEastAsia" w:hAnsiTheme="majorEastAsia"/>
                <w:sz w:val="20"/>
                <w:szCs w:val="20"/>
              </w:rPr>
            </w:pPr>
          </w:p>
        </w:tc>
        <w:tc>
          <w:tcPr>
            <w:tcW w:w="1242" w:type="dxa"/>
            <w:shd w:val="clear" w:color="auto" w:fill="auto"/>
            <w:vAlign w:val="center"/>
          </w:tcPr>
          <w:p w:rsidR="00053F00" w:rsidRPr="007E1037" w:rsidRDefault="00053F00" w:rsidP="000471AB">
            <w:pPr>
              <w:rPr>
                <w:sz w:val="20"/>
                <w:szCs w:val="20"/>
              </w:rPr>
            </w:pPr>
            <w:r w:rsidRPr="007E1037">
              <w:rPr>
                <w:sz w:val="20"/>
                <w:szCs w:val="20"/>
              </w:rPr>
              <w:t>整理・分析</w:t>
            </w:r>
          </w:p>
        </w:tc>
        <w:tc>
          <w:tcPr>
            <w:tcW w:w="6804" w:type="dxa"/>
            <w:gridSpan w:val="2"/>
            <w:shd w:val="clear" w:color="auto" w:fill="auto"/>
            <w:vAlign w:val="center"/>
          </w:tcPr>
          <w:p w:rsidR="00053F00" w:rsidRPr="007E1037" w:rsidRDefault="00053F00" w:rsidP="00053F00">
            <w:pPr>
              <w:snapToGrid w:val="0"/>
              <w:rPr>
                <w:sz w:val="20"/>
                <w:szCs w:val="20"/>
              </w:rPr>
            </w:pPr>
            <w:r>
              <w:rPr>
                <w:rFonts w:hint="eastAsia"/>
                <w:sz w:val="18"/>
              </w:rPr>
              <w:t>問題状況における事実や関係を，</w:t>
            </w:r>
            <w:r w:rsidRPr="00935389">
              <w:rPr>
                <w:rFonts w:hint="eastAsia"/>
                <w:sz w:val="18"/>
              </w:rPr>
              <w:t>事象を比較したり分類したり</w:t>
            </w:r>
            <w:r>
              <w:rPr>
                <w:rFonts w:hint="eastAsia"/>
                <w:sz w:val="18"/>
              </w:rPr>
              <w:t>，数量などで客観的に比較したりして，特徴を見付けている。</w:t>
            </w:r>
          </w:p>
        </w:tc>
        <w:tc>
          <w:tcPr>
            <w:tcW w:w="6663" w:type="dxa"/>
            <w:gridSpan w:val="2"/>
            <w:shd w:val="clear" w:color="auto" w:fill="auto"/>
            <w:vAlign w:val="center"/>
          </w:tcPr>
          <w:p w:rsidR="00053F00" w:rsidRPr="007E1037" w:rsidRDefault="00053F00" w:rsidP="00053F00">
            <w:pPr>
              <w:snapToGrid w:val="0"/>
              <w:rPr>
                <w:sz w:val="20"/>
                <w:szCs w:val="20"/>
              </w:rPr>
            </w:pPr>
            <w:r>
              <w:rPr>
                <w:rFonts w:hint="eastAsia"/>
                <w:sz w:val="18"/>
              </w:rPr>
              <w:t>視点を明確にして問題状況における事実や関係と，</w:t>
            </w:r>
            <w:r w:rsidRPr="00935389">
              <w:rPr>
                <w:rFonts w:hint="eastAsia"/>
                <w:sz w:val="18"/>
              </w:rPr>
              <w:t>整理した情報を関連</w:t>
            </w:r>
            <w:r>
              <w:rPr>
                <w:rFonts w:hint="eastAsia"/>
                <w:sz w:val="18"/>
              </w:rPr>
              <w:t>付けたり，多面的に考察したりして</w:t>
            </w:r>
            <w:r w:rsidRPr="00D30B88">
              <w:rPr>
                <w:rFonts w:hint="eastAsia"/>
                <w:sz w:val="18"/>
              </w:rPr>
              <w:t>理解し，多様な情報の中にある特徴を見付けている</w:t>
            </w:r>
            <w:r>
              <w:rPr>
                <w:rFonts w:hint="eastAsia"/>
                <w:sz w:val="18"/>
              </w:rPr>
              <w:t>。</w:t>
            </w:r>
          </w:p>
        </w:tc>
      </w:tr>
      <w:tr w:rsidR="00053F00" w:rsidTr="00053F00">
        <w:trPr>
          <w:cantSplit/>
          <w:trHeight w:val="385"/>
        </w:trPr>
        <w:tc>
          <w:tcPr>
            <w:tcW w:w="567" w:type="dxa"/>
            <w:vMerge/>
            <w:shd w:val="clear" w:color="auto" w:fill="auto"/>
          </w:tcPr>
          <w:p w:rsidR="00053F00" w:rsidRPr="00B52005" w:rsidRDefault="00053F00" w:rsidP="000471AB">
            <w:pPr>
              <w:rPr>
                <w:rFonts w:asciiTheme="majorEastAsia" w:eastAsiaTheme="majorEastAsia" w:hAnsiTheme="majorEastAsia"/>
                <w:sz w:val="20"/>
                <w:szCs w:val="20"/>
              </w:rPr>
            </w:pPr>
          </w:p>
        </w:tc>
        <w:tc>
          <w:tcPr>
            <w:tcW w:w="1242" w:type="dxa"/>
            <w:shd w:val="clear" w:color="auto" w:fill="auto"/>
            <w:vAlign w:val="center"/>
          </w:tcPr>
          <w:p w:rsidR="00053F00" w:rsidRPr="007E1037" w:rsidRDefault="00053F00" w:rsidP="000471AB">
            <w:pPr>
              <w:rPr>
                <w:sz w:val="20"/>
                <w:szCs w:val="20"/>
              </w:rPr>
            </w:pPr>
            <w:r>
              <w:rPr>
                <w:sz w:val="20"/>
                <w:szCs w:val="20"/>
              </w:rPr>
              <w:t>まとめ</w:t>
            </w:r>
            <w:r w:rsidRPr="007E1037">
              <w:rPr>
                <w:sz w:val="20"/>
                <w:szCs w:val="20"/>
              </w:rPr>
              <w:t>表現</w:t>
            </w:r>
          </w:p>
        </w:tc>
        <w:tc>
          <w:tcPr>
            <w:tcW w:w="6804" w:type="dxa"/>
            <w:gridSpan w:val="2"/>
            <w:shd w:val="clear" w:color="auto" w:fill="auto"/>
            <w:vAlign w:val="center"/>
          </w:tcPr>
          <w:p w:rsidR="00053F00" w:rsidRPr="007E1037" w:rsidRDefault="00053F00" w:rsidP="00053F00">
            <w:pPr>
              <w:snapToGrid w:val="0"/>
              <w:rPr>
                <w:sz w:val="20"/>
                <w:szCs w:val="20"/>
              </w:rPr>
            </w:pPr>
            <w:r>
              <w:rPr>
                <w:rFonts w:hint="eastAsia"/>
                <w:sz w:val="18"/>
              </w:rPr>
              <w:t>相手に応じてわかりやすくまとめ，表現している。</w:t>
            </w:r>
          </w:p>
        </w:tc>
        <w:tc>
          <w:tcPr>
            <w:tcW w:w="6663" w:type="dxa"/>
            <w:gridSpan w:val="2"/>
            <w:shd w:val="clear" w:color="auto" w:fill="auto"/>
            <w:vAlign w:val="center"/>
          </w:tcPr>
          <w:p w:rsidR="00053F00" w:rsidRPr="007E1037" w:rsidRDefault="00053F00" w:rsidP="00053F00">
            <w:pPr>
              <w:snapToGrid w:val="0"/>
              <w:rPr>
                <w:sz w:val="20"/>
                <w:szCs w:val="20"/>
              </w:rPr>
            </w:pPr>
            <w:r>
              <w:rPr>
                <w:rFonts w:hint="eastAsia"/>
                <w:sz w:val="18"/>
              </w:rPr>
              <w:t>相手や目的，意図に応じ，工夫してまとめ，表現している。</w:t>
            </w:r>
          </w:p>
        </w:tc>
      </w:tr>
      <w:tr w:rsidR="00053F00" w:rsidTr="00053F00">
        <w:trPr>
          <w:cantSplit/>
          <w:trHeight w:val="353"/>
        </w:trPr>
        <w:tc>
          <w:tcPr>
            <w:tcW w:w="567" w:type="dxa"/>
            <w:vMerge/>
            <w:shd w:val="clear" w:color="auto" w:fill="auto"/>
          </w:tcPr>
          <w:p w:rsidR="00053F00" w:rsidRPr="00B52005" w:rsidRDefault="00053F00" w:rsidP="000471AB">
            <w:pPr>
              <w:rPr>
                <w:rFonts w:asciiTheme="majorEastAsia" w:eastAsiaTheme="majorEastAsia" w:hAnsiTheme="majorEastAsia"/>
                <w:sz w:val="20"/>
                <w:szCs w:val="20"/>
              </w:rPr>
            </w:pPr>
          </w:p>
        </w:tc>
        <w:tc>
          <w:tcPr>
            <w:tcW w:w="1242" w:type="dxa"/>
            <w:shd w:val="clear" w:color="auto" w:fill="auto"/>
            <w:vAlign w:val="center"/>
          </w:tcPr>
          <w:p w:rsidR="00053F00" w:rsidRPr="007E1037" w:rsidRDefault="00053F00" w:rsidP="000471AB">
            <w:pPr>
              <w:rPr>
                <w:sz w:val="20"/>
                <w:szCs w:val="20"/>
              </w:rPr>
            </w:pPr>
            <w:r w:rsidRPr="007E1037">
              <w:rPr>
                <w:sz w:val="20"/>
                <w:szCs w:val="20"/>
              </w:rPr>
              <w:t>振り返り</w:t>
            </w:r>
          </w:p>
        </w:tc>
        <w:tc>
          <w:tcPr>
            <w:tcW w:w="6804" w:type="dxa"/>
            <w:gridSpan w:val="2"/>
            <w:shd w:val="clear" w:color="auto" w:fill="auto"/>
            <w:vAlign w:val="center"/>
          </w:tcPr>
          <w:p w:rsidR="00053F00" w:rsidRPr="007E1037" w:rsidRDefault="00053F00" w:rsidP="00053F00">
            <w:pPr>
              <w:snapToGrid w:val="0"/>
              <w:rPr>
                <w:sz w:val="20"/>
                <w:szCs w:val="20"/>
              </w:rPr>
            </w:pPr>
            <w:r>
              <w:rPr>
                <w:rFonts w:hint="eastAsia"/>
                <w:sz w:val="18"/>
              </w:rPr>
              <w:t>学習したことをふり返り，生活に生かそうとしている。</w:t>
            </w:r>
          </w:p>
        </w:tc>
        <w:tc>
          <w:tcPr>
            <w:tcW w:w="6663" w:type="dxa"/>
            <w:gridSpan w:val="2"/>
            <w:shd w:val="clear" w:color="auto" w:fill="auto"/>
            <w:vAlign w:val="center"/>
          </w:tcPr>
          <w:p w:rsidR="00053F00" w:rsidRPr="007E1037" w:rsidRDefault="00053F00" w:rsidP="00053F00">
            <w:pPr>
              <w:snapToGrid w:val="0"/>
              <w:rPr>
                <w:sz w:val="20"/>
                <w:szCs w:val="20"/>
              </w:rPr>
            </w:pPr>
            <w:r>
              <w:rPr>
                <w:rFonts w:hint="eastAsia"/>
                <w:sz w:val="18"/>
              </w:rPr>
              <w:t>学習の仕方をふり返り，学習や生活に生かそうとしている。</w:t>
            </w:r>
          </w:p>
        </w:tc>
      </w:tr>
      <w:tr w:rsidR="00053F00" w:rsidTr="00053F00">
        <w:trPr>
          <w:cantSplit/>
          <w:trHeight w:val="506"/>
        </w:trPr>
        <w:tc>
          <w:tcPr>
            <w:tcW w:w="567" w:type="dxa"/>
            <w:vMerge w:val="restart"/>
            <w:shd w:val="clear" w:color="auto" w:fill="auto"/>
            <w:textDirection w:val="tbRlV"/>
            <w:vAlign w:val="center"/>
          </w:tcPr>
          <w:p w:rsidR="00053F00" w:rsidRPr="00B52005" w:rsidRDefault="00053F00" w:rsidP="000471AB">
            <w:pPr>
              <w:ind w:left="113" w:right="113"/>
              <w:jc w:val="center"/>
              <w:rPr>
                <w:rFonts w:asciiTheme="majorEastAsia" w:eastAsiaTheme="majorEastAsia" w:hAnsiTheme="majorEastAsia"/>
                <w:sz w:val="20"/>
                <w:szCs w:val="20"/>
              </w:rPr>
            </w:pPr>
            <w:r w:rsidRPr="00B52005">
              <w:rPr>
                <w:rFonts w:asciiTheme="majorEastAsia" w:eastAsiaTheme="majorEastAsia" w:hAnsiTheme="majorEastAsia" w:hint="eastAsia"/>
                <w:sz w:val="16"/>
                <w:szCs w:val="20"/>
              </w:rPr>
              <w:t>学びに向かう力，人間性等</w:t>
            </w:r>
          </w:p>
        </w:tc>
        <w:tc>
          <w:tcPr>
            <w:tcW w:w="1242" w:type="dxa"/>
            <w:shd w:val="clear" w:color="auto" w:fill="auto"/>
            <w:vAlign w:val="center"/>
          </w:tcPr>
          <w:p w:rsidR="00053F00" w:rsidRPr="007E1037" w:rsidRDefault="00053F00" w:rsidP="000471AB">
            <w:pPr>
              <w:jc w:val="center"/>
              <w:rPr>
                <w:sz w:val="20"/>
                <w:szCs w:val="20"/>
              </w:rPr>
            </w:pPr>
            <w:r w:rsidRPr="007E1037">
              <w:rPr>
                <w:sz w:val="20"/>
                <w:szCs w:val="20"/>
              </w:rPr>
              <w:t>主体性</w:t>
            </w:r>
          </w:p>
        </w:tc>
        <w:tc>
          <w:tcPr>
            <w:tcW w:w="6804" w:type="dxa"/>
            <w:gridSpan w:val="2"/>
            <w:shd w:val="clear" w:color="auto" w:fill="auto"/>
            <w:vAlign w:val="center"/>
          </w:tcPr>
          <w:p w:rsidR="00053F00" w:rsidRPr="007E1037" w:rsidRDefault="00053F00" w:rsidP="00053F00">
            <w:pPr>
              <w:snapToGrid w:val="0"/>
              <w:rPr>
                <w:sz w:val="20"/>
                <w:szCs w:val="20"/>
              </w:rPr>
            </w:pPr>
            <w:r>
              <w:rPr>
                <w:rFonts w:hint="eastAsia"/>
                <w:sz w:val="18"/>
              </w:rPr>
              <w:t>課題の解決に向け，目的意識をもって意欲的に取り組んでいる。</w:t>
            </w:r>
          </w:p>
        </w:tc>
        <w:tc>
          <w:tcPr>
            <w:tcW w:w="6663" w:type="dxa"/>
            <w:gridSpan w:val="2"/>
            <w:shd w:val="clear" w:color="auto" w:fill="auto"/>
            <w:vAlign w:val="center"/>
          </w:tcPr>
          <w:p w:rsidR="00053F00" w:rsidRPr="007E1037" w:rsidRDefault="00053F00" w:rsidP="00053F00">
            <w:pPr>
              <w:snapToGrid w:val="0"/>
              <w:rPr>
                <w:sz w:val="20"/>
                <w:szCs w:val="20"/>
              </w:rPr>
            </w:pPr>
            <w:r w:rsidRPr="00620E75">
              <w:rPr>
                <w:rFonts w:hint="eastAsia"/>
                <w:sz w:val="18"/>
              </w:rPr>
              <w:t>課題</w:t>
            </w:r>
            <w:r>
              <w:rPr>
                <w:rFonts w:hint="eastAsia"/>
                <w:sz w:val="18"/>
              </w:rPr>
              <w:t>意識をもって</w:t>
            </w:r>
            <w:r w:rsidRPr="00620E75">
              <w:rPr>
                <w:rFonts w:hint="eastAsia"/>
                <w:sz w:val="18"/>
              </w:rPr>
              <w:t>，</w:t>
            </w:r>
            <w:r>
              <w:rPr>
                <w:rFonts w:hint="eastAsia"/>
                <w:sz w:val="18"/>
              </w:rPr>
              <w:t>自分なりの方法を工夫しながら</w:t>
            </w:r>
            <w:r w:rsidRPr="00620E75">
              <w:rPr>
                <w:rFonts w:hint="eastAsia"/>
                <w:sz w:val="18"/>
              </w:rPr>
              <w:t>探究活動に取り組</w:t>
            </w:r>
            <w:r>
              <w:rPr>
                <w:rFonts w:hint="eastAsia"/>
                <w:sz w:val="18"/>
              </w:rPr>
              <w:t>んでいる</w:t>
            </w:r>
            <w:r w:rsidRPr="00620E75">
              <w:rPr>
                <w:rFonts w:hint="eastAsia"/>
                <w:sz w:val="18"/>
              </w:rPr>
              <w:t>。</w:t>
            </w:r>
          </w:p>
        </w:tc>
      </w:tr>
      <w:tr w:rsidR="00053F00" w:rsidTr="00053F00">
        <w:trPr>
          <w:cantSplit/>
          <w:trHeight w:val="427"/>
        </w:trPr>
        <w:tc>
          <w:tcPr>
            <w:tcW w:w="567" w:type="dxa"/>
            <w:vMerge/>
            <w:shd w:val="clear" w:color="auto" w:fill="auto"/>
          </w:tcPr>
          <w:p w:rsidR="00053F00" w:rsidRPr="007E1037" w:rsidRDefault="00053F00" w:rsidP="000471AB">
            <w:pPr>
              <w:rPr>
                <w:sz w:val="20"/>
                <w:szCs w:val="20"/>
              </w:rPr>
            </w:pPr>
          </w:p>
        </w:tc>
        <w:tc>
          <w:tcPr>
            <w:tcW w:w="1242" w:type="dxa"/>
            <w:shd w:val="clear" w:color="auto" w:fill="auto"/>
            <w:vAlign w:val="center"/>
          </w:tcPr>
          <w:p w:rsidR="00053F00" w:rsidRPr="007E1037" w:rsidRDefault="00053F00" w:rsidP="000471AB">
            <w:pPr>
              <w:jc w:val="center"/>
              <w:rPr>
                <w:sz w:val="20"/>
                <w:szCs w:val="20"/>
              </w:rPr>
            </w:pPr>
            <w:r w:rsidRPr="007E1037">
              <w:rPr>
                <w:sz w:val="20"/>
                <w:szCs w:val="20"/>
              </w:rPr>
              <w:t>協働性</w:t>
            </w:r>
          </w:p>
        </w:tc>
        <w:tc>
          <w:tcPr>
            <w:tcW w:w="6804" w:type="dxa"/>
            <w:gridSpan w:val="2"/>
            <w:shd w:val="clear" w:color="auto" w:fill="auto"/>
            <w:vAlign w:val="center"/>
          </w:tcPr>
          <w:p w:rsidR="00053F00" w:rsidRPr="007E1037" w:rsidRDefault="00053F00" w:rsidP="00053F00">
            <w:pPr>
              <w:snapToGrid w:val="0"/>
              <w:rPr>
                <w:sz w:val="20"/>
                <w:szCs w:val="20"/>
              </w:rPr>
            </w:pPr>
            <w:r>
              <w:rPr>
                <w:rFonts w:hint="eastAsia"/>
                <w:sz w:val="18"/>
              </w:rPr>
              <w:t>課題解決に向けて，身近な人と力を合わせて探究活動に取り組んでいる。</w:t>
            </w:r>
          </w:p>
        </w:tc>
        <w:tc>
          <w:tcPr>
            <w:tcW w:w="6663" w:type="dxa"/>
            <w:gridSpan w:val="2"/>
            <w:shd w:val="clear" w:color="auto" w:fill="auto"/>
            <w:vAlign w:val="center"/>
          </w:tcPr>
          <w:p w:rsidR="00053F00" w:rsidRPr="007E1037" w:rsidRDefault="00053F00" w:rsidP="00053F00">
            <w:pPr>
              <w:snapToGrid w:val="0"/>
              <w:rPr>
                <w:sz w:val="20"/>
                <w:szCs w:val="20"/>
              </w:rPr>
            </w:pPr>
            <w:r>
              <w:rPr>
                <w:rFonts w:hint="eastAsia"/>
                <w:sz w:val="18"/>
              </w:rPr>
              <w:t>課題解決に向けて，他者と協働して探究活動に取り組み，その大切さに気付いている。</w:t>
            </w:r>
          </w:p>
        </w:tc>
      </w:tr>
      <w:tr w:rsidR="00053F00" w:rsidTr="00053F00">
        <w:trPr>
          <w:cantSplit/>
          <w:trHeight w:val="445"/>
        </w:trPr>
        <w:tc>
          <w:tcPr>
            <w:tcW w:w="567" w:type="dxa"/>
            <w:vMerge/>
            <w:shd w:val="clear" w:color="auto" w:fill="auto"/>
          </w:tcPr>
          <w:p w:rsidR="00053F00" w:rsidRPr="007E1037" w:rsidRDefault="00053F00" w:rsidP="000471AB">
            <w:pPr>
              <w:rPr>
                <w:sz w:val="20"/>
                <w:szCs w:val="20"/>
              </w:rPr>
            </w:pPr>
          </w:p>
        </w:tc>
        <w:tc>
          <w:tcPr>
            <w:tcW w:w="1242" w:type="dxa"/>
            <w:shd w:val="clear" w:color="auto" w:fill="auto"/>
            <w:vAlign w:val="center"/>
          </w:tcPr>
          <w:p w:rsidR="00053F00" w:rsidRPr="007E1037" w:rsidRDefault="00053F00" w:rsidP="000471AB">
            <w:pPr>
              <w:jc w:val="center"/>
              <w:rPr>
                <w:sz w:val="20"/>
                <w:szCs w:val="20"/>
              </w:rPr>
            </w:pPr>
            <w:r w:rsidRPr="007E1037">
              <w:rPr>
                <w:sz w:val="20"/>
                <w:szCs w:val="20"/>
              </w:rPr>
              <w:t>自己理解</w:t>
            </w:r>
          </w:p>
        </w:tc>
        <w:tc>
          <w:tcPr>
            <w:tcW w:w="6804" w:type="dxa"/>
            <w:gridSpan w:val="2"/>
            <w:shd w:val="clear" w:color="auto" w:fill="auto"/>
            <w:vAlign w:val="center"/>
          </w:tcPr>
          <w:p w:rsidR="00053F00" w:rsidRPr="007E1037" w:rsidRDefault="00053F00" w:rsidP="00053F00">
            <w:pPr>
              <w:snapToGrid w:val="0"/>
              <w:rPr>
                <w:sz w:val="20"/>
                <w:szCs w:val="20"/>
              </w:rPr>
            </w:pPr>
            <w:r>
              <w:rPr>
                <w:rFonts w:hint="eastAsia"/>
                <w:sz w:val="18"/>
              </w:rPr>
              <w:t>自分のよさや自分にできることに気付いている。</w:t>
            </w:r>
          </w:p>
        </w:tc>
        <w:tc>
          <w:tcPr>
            <w:tcW w:w="6663" w:type="dxa"/>
            <w:gridSpan w:val="2"/>
            <w:shd w:val="clear" w:color="auto" w:fill="auto"/>
            <w:vAlign w:val="center"/>
          </w:tcPr>
          <w:p w:rsidR="00053F00" w:rsidRPr="007E1037" w:rsidRDefault="00053F00" w:rsidP="00053F00">
            <w:pPr>
              <w:snapToGrid w:val="0"/>
              <w:rPr>
                <w:sz w:val="20"/>
                <w:szCs w:val="20"/>
              </w:rPr>
            </w:pPr>
            <w:r>
              <w:rPr>
                <w:rFonts w:hint="eastAsia"/>
                <w:sz w:val="18"/>
              </w:rPr>
              <w:t>探究活動を通して，自分の生活を見直し，自分の特徴を理解しようとしている。</w:t>
            </w:r>
          </w:p>
        </w:tc>
      </w:tr>
      <w:tr w:rsidR="00053F00" w:rsidTr="00053F00">
        <w:trPr>
          <w:cantSplit/>
          <w:trHeight w:val="404"/>
        </w:trPr>
        <w:tc>
          <w:tcPr>
            <w:tcW w:w="567" w:type="dxa"/>
            <w:vMerge/>
            <w:shd w:val="clear" w:color="auto" w:fill="auto"/>
          </w:tcPr>
          <w:p w:rsidR="00053F00" w:rsidRPr="007E1037" w:rsidRDefault="00053F00" w:rsidP="000471AB">
            <w:pPr>
              <w:rPr>
                <w:sz w:val="20"/>
                <w:szCs w:val="20"/>
              </w:rPr>
            </w:pPr>
          </w:p>
        </w:tc>
        <w:tc>
          <w:tcPr>
            <w:tcW w:w="1242" w:type="dxa"/>
            <w:shd w:val="clear" w:color="auto" w:fill="auto"/>
            <w:vAlign w:val="center"/>
          </w:tcPr>
          <w:p w:rsidR="00053F00" w:rsidRPr="007E1037" w:rsidRDefault="00053F00" w:rsidP="000471AB">
            <w:pPr>
              <w:jc w:val="center"/>
              <w:rPr>
                <w:sz w:val="20"/>
                <w:szCs w:val="20"/>
              </w:rPr>
            </w:pPr>
            <w:r w:rsidRPr="007E1037">
              <w:rPr>
                <w:sz w:val="20"/>
                <w:szCs w:val="20"/>
              </w:rPr>
              <w:t>他者理解</w:t>
            </w:r>
          </w:p>
        </w:tc>
        <w:tc>
          <w:tcPr>
            <w:tcW w:w="6804" w:type="dxa"/>
            <w:gridSpan w:val="2"/>
            <w:shd w:val="clear" w:color="auto" w:fill="auto"/>
            <w:vAlign w:val="center"/>
          </w:tcPr>
          <w:p w:rsidR="00053F00" w:rsidRPr="007E1037" w:rsidRDefault="00053F00" w:rsidP="00053F00">
            <w:pPr>
              <w:snapToGrid w:val="0"/>
              <w:rPr>
                <w:sz w:val="20"/>
                <w:szCs w:val="20"/>
              </w:rPr>
            </w:pPr>
            <w:r>
              <w:rPr>
                <w:rFonts w:hint="eastAsia"/>
                <w:sz w:val="18"/>
              </w:rPr>
              <w:t>自分と異なる意見や考えがあることに気付き，相手の立場を理解する。</w:t>
            </w:r>
          </w:p>
        </w:tc>
        <w:tc>
          <w:tcPr>
            <w:tcW w:w="6663" w:type="dxa"/>
            <w:gridSpan w:val="2"/>
            <w:shd w:val="clear" w:color="auto" w:fill="auto"/>
            <w:vAlign w:val="center"/>
          </w:tcPr>
          <w:p w:rsidR="00053F00" w:rsidRPr="007E1037" w:rsidRDefault="00053F00" w:rsidP="00053F00">
            <w:pPr>
              <w:snapToGrid w:val="0"/>
              <w:rPr>
                <w:sz w:val="20"/>
                <w:szCs w:val="20"/>
              </w:rPr>
            </w:pPr>
            <w:r>
              <w:rPr>
                <w:rFonts w:hint="eastAsia"/>
                <w:sz w:val="18"/>
              </w:rPr>
              <w:t>異なる意見や他者の考えを受け入れ尊重しながら，探究活動に取り組んでいる。</w:t>
            </w:r>
          </w:p>
        </w:tc>
      </w:tr>
      <w:tr w:rsidR="00053F00" w:rsidTr="00053F00">
        <w:trPr>
          <w:cantSplit/>
          <w:trHeight w:val="404"/>
        </w:trPr>
        <w:tc>
          <w:tcPr>
            <w:tcW w:w="567" w:type="dxa"/>
            <w:vMerge/>
            <w:shd w:val="clear" w:color="auto" w:fill="auto"/>
          </w:tcPr>
          <w:p w:rsidR="00053F00" w:rsidRPr="007E1037" w:rsidRDefault="00053F00" w:rsidP="000471AB">
            <w:pPr>
              <w:rPr>
                <w:sz w:val="20"/>
                <w:szCs w:val="20"/>
              </w:rPr>
            </w:pPr>
          </w:p>
        </w:tc>
        <w:tc>
          <w:tcPr>
            <w:tcW w:w="1242" w:type="dxa"/>
            <w:shd w:val="clear" w:color="auto" w:fill="auto"/>
            <w:vAlign w:val="center"/>
          </w:tcPr>
          <w:p w:rsidR="00053F00" w:rsidRPr="007E1037" w:rsidRDefault="00053F00" w:rsidP="000471AB">
            <w:pPr>
              <w:jc w:val="center"/>
              <w:rPr>
                <w:sz w:val="20"/>
                <w:szCs w:val="20"/>
              </w:rPr>
            </w:pPr>
            <w:r>
              <w:rPr>
                <w:rFonts w:hint="eastAsia"/>
                <w:sz w:val="20"/>
                <w:szCs w:val="20"/>
              </w:rPr>
              <w:t>社会参画</w:t>
            </w:r>
          </w:p>
        </w:tc>
        <w:tc>
          <w:tcPr>
            <w:tcW w:w="6804" w:type="dxa"/>
            <w:gridSpan w:val="2"/>
            <w:shd w:val="clear" w:color="auto" w:fill="auto"/>
            <w:vAlign w:val="center"/>
          </w:tcPr>
          <w:p w:rsidR="00053F00" w:rsidRPr="007E1037" w:rsidRDefault="00053F00" w:rsidP="00053F00">
            <w:pPr>
              <w:snapToGrid w:val="0"/>
              <w:rPr>
                <w:sz w:val="20"/>
                <w:szCs w:val="20"/>
              </w:rPr>
            </w:pPr>
            <w:r>
              <w:rPr>
                <w:rFonts w:hint="eastAsia"/>
                <w:sz w:val="18"/>
              </w:rPr>
              <w:t>自分と地域とのつながりに気付き，地域の活動に参加しようとしている。</w:t>
            </w:r>
          </w:p>
        </w:tc>
        <w:tc>
          <w:tcPr>
            <w:tcW w:w="6663" w:type="dxa"/>
            <w:gridSpan w:val="2"/>
            <w:shd w:val="clear" w:color="auto" w:fill="auto"/>
            <w:vAlign w:val="center"/>
          </w:tcPr>
          <w:p w:rsidR="00053F00" w:rsidRPr="007E1037" w:rsidRDefault="00053F00" w:rsidP="00053F00">
            <w:pPr>
              <w:snapToGrid w:val="0"/>
              <w:rPr>
                <w:sz w:val="20"/>
                <w:szCs w:val="20"/>
              </w:rPr>
            </w:pPr>
            <w:r>
              <w:rPr>
                <w:rFonts w:hint="eastAsia"/>
                <w:sz w:val="18"/>
              </w:rPr>
              <w:t>探究活動を通して，自分と実生活・実社会の問題の解決に取り組もうとする。</w:t>
            </w:r>
          </w:p>
        </w:tc>
      </w:tr>
    </w:tbl>
    <w:p w:rsidR="00053F00" w:rsidRDefault="00053F00"/>
    <w:sectPr w:rsidR="00053F00" w:rsidSect="00053F00">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C6" w:rsidRDefault="006D0EC6" w:rsidP="00053F00">
      <w:r>
        <w:separator/>
      </w:r>
    </w:p>
  </w:endnote>
  <w:endnote w:type="continuationSeparator" w:id="0">
    <w:p w:rsidR="006D0EC6" w:rsidRDefault="006D0EC6" w:rsidP="0005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C6" w:rsidRDefault="006D0EC6" w:rsidP="00053F00">
      <w:r>
        <w:separator/>
      </w:r>
    </w:p>
  </w:footnote>
  <w:footnote w:type="continuationSeparator" w:id="0">
    <w:p w:rsidR="006D0EC6" w:rsidRDefault="006D0EC6" w:rsidP="00053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EB"/>
    <w:rsid w:val="00000088"/>
    <w:rsid w:val="00053F00"/>
    <w:rsid w:val="000F4F56"/>
    <w:rsid w:val="0040738F"/>
    <w:rsid w:val="006D0EC6"/>
    <w:rsid w:val="00817DC4"/>
    <w:rsid w:val="008B200B"/>
    <w:rsid w:val="00A33353"/>
    <w:rsid w:val="00A874EB"/>
    <w:rsid w:val="00E742CB"/>
    <w:rsid w:val="00EA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F00"/>
    <w:pPr>
      <w:tabs>
        <w:tab w:val="center" w:pos="4252"/>
        <w:tab w:val="right" w:pos="8504"/>
      </w:tabs>
      <w:snapToGrid w:val="0"/>
    </w:pPr>
  </w:style>
  <w:style w:type="character" w:customStyle="1" w:styleId="a4">
    <w:name w:val="ヘッダー (文字)"/>
    <w:basedOn w:val="a0"/>
    <w:link w:val="a3"/>
    <w:uiPriority w:val="99"/>
    <w:rsid w:val="00053F00"/>
  </w:style>
  <w:style w:type="paragraph" w:styleId="a5">
    <w:name w:val="footer"/>
    <w:basedOn w:val="a"/>
    <w:link w:val="a6"/>
    <w:uiPriority w:val="99"/>
    <w:unhideWhenUsed/>
    <w:rsid w:val="00053F00"/>
    <w:pPr>
      <w:tabs>
        <w:tab w:val="center" w:pos="4252"/>
        <w:tab w:val="right" w:pos="8504"/>
      </w:tabs>
      <w:snapToGrid w:val="0"/>
    </w:pPr>
  </w:style>
  <w:style w:type="character" w:customStyle="1" w:styleId="a6">
    <w:name w:val="フッター (文字)"/>
    <w:basedOn w:val="a0"/>
    <w:link w:val="a5"/>
    <w:uiPriority w:val="99"/>
    <w:rsid w:val="00053F00"/>
  </w:style>
  <w:style w:type="table" w:styleId="a7">
    <w:name w:val="Table Grid"/>
    <w:basedOn w:val="a1"/>
    <w:uiPriority w:val="59"/>
    <w:rsid w:val="0005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F00"/>
    <w:pPr>
      <w:tabs>
        <w:tab w:val="center" w:pos="4252"/>
        <w:tab w:val="right" w:pos="8504"/>
      </w:tabs>
      <w:snapToGrid w:val="0"/>
    </w:pPr>
  </w:style>
  <w:style w:type="character" w:customStyle="1" w:styleId="a4">
    <w:name w:val="ヘッダー (文字)"/>
    <w:basedOn w:val="a0"/>
    <w:link w:val="a3"/>
    <w:uiPriority w:val="99"/>
    <w:rsid w:val="00053F00"/>
  </w:style>
  <w:style w:type="paragraph" w:styleId="a5">
    <w:name w:val="footer"/>
    <w:basedOn w:val="a"/>
    <w:link w:val="a6"/>
    <w:uiPriority w:val="99"/>
    <w:unhideWhenUsed/>
    <w:rsid w:val="00053F00"/>
    <w:pPr>
      <w:tabs>
        <w:tab w:val="center" w:pos="4252"/>
        <w:tab w:val="right" w:pos="8504"/>
      </w:tabs>
      <w:snapToGrid w:val="0"/>
    </w:pPr>
  </w:style>
  <w:style w:type="character" w:customStyle="1" w:styleId="a6">
    <w:name w:val="フッター (文字)"/>
    <w:basedOn w:val="a0"/>
    <w:link w:val="a5"/>
    <w:uiPriority w:val="99"/>
    <w:rsid w:val="00053F00"/>
  </w:style>
  <w:style w:type="table" w:styleId="a7">
    <w:name w:val="Table Grid"/>
    <w:basedOn w:val="a1"/>
    <w:uiPriority w:val="59"/>
    <w:rsid w:val="0005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9</cp:revision>
  <dcterms:created xsi:type="dcterms:W3CDTF">2018-01-15T05:47:00Z</dcterms:created>
  <dcterms:modified xsi:type="dcterms:W3CDTF">2018-01-15T06:25:00Z</dcterms:modified>
</cp:coreProperties>
</file>