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0B85" w:rsidRDefault="00B90B85" w:rsidP="00B90B85">
      <w:pPr>
        <w:ind w:leftChars="-342" w:left="-718" w:rightChars="-171" w:right="-359"/>
        <w:jc w:val="right"/>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p w:rsidR="00B90B85" w:rsidRDefault="00B90B85" w:rsidP="00B90B85">
      <w:pPr>
        <w:ind w:leftChars="-171" w:left="-359" w:rightChars="-85" w:right="-178"/>
        <w:jc w:val="center"/>
        <w:rPr>
          <w:rFonts w:ascii="ＭＳ ゴシック" w:eastAsia="ＭＳ ゴシック" w:hAnsi="ＭＳ ゴシック" w:hint="eastAsia"/>
        </w:rPr>
      </w:pPr>
      <w:r>
        <w:rPr>
          <w:rFonts w:ascii="ＭＳ ゴシック" w:eastAsia="ＭＳ ゴシック" w:hAnsi="ＭＳ ゴシック" w:hint="eastAsia"/>
          <w:sz w:val="24"/>
        </w:rPr>
        <w:t>液化石油ガス保安規則第４９条に定める技術上の基準についての対応状況</w:t>
      </w:r>
    </w:p>
    <w:p w:rsidR="00B90B85" w:rsidRDefault="00B90B85" w:rsidP="00B90B85">
      <w:pPr>
        <w:ind w:leftChars="-342" w:left="-718" w:rightChars="-85" w:right="-178"/>
        <w:jc w:val="right"/>
        <w:rPr>
          <w:rFonts w:ascii="ＭＳ ゴシック" w:eastAsia="ＭＳ ゴシック" w:hAnsi="ＭＳ ゴシック" w:hint="eastAsia"/>
        </w:rPr>
      </w:pPr>
      <w:r>
        <w:rPr>
          <w:rFonts w:ascii="ＭＳ ゴシック" w:eastAsia="ＭＳ ゴシック" w:hAnsi="ＭＳ ゴシック" w:hint="eastAsia"/>
          <w:sz w:val="18"/>
        </w:rPr>
        <w:t>（その他の場合における移動に係る技術上の基準）</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77"/>
        <w:gridCol w:w="1999"/>
        <w:gridCol w:w="4871"/>
        <w:gridCol w:w="1773"/>
      </w:tblGrid>
      <w:tr w:rsidR="00B90B85" w:rsidRPr="00376DC2" w:rsidTr="00C20468">
        <w:tblPrEx>
          <w:tblCellMar>
            <w:top w:w="0" w:type="dxa"/>
            <w:bottom w:w="0" w:type="dxa"/>
          </w:tblCellMar>
        </w:tblPrEx>
        <w:trPr>
          <w:trHeight w:val="354"/>
        </w:trPr>
        <w:tc>
          <w:tcPr>
            <w:tcW w:w="1077" w:type="dxa"/>
            <w:tcBorders>
              <w:bottom w:val="single" w:sz="4" w:space="0" w:color="auto"/>
            </w:tcBorders>
          </w:tcPr>
          <w:p w:rsidR="00B90B85" w:rsidRPr="00376DC2" w:rsidRDefault="00B90B85" w:rsidP="00C20468">
            <w:pPr>
              <w:jc w:val="center"/>
              <w:rPr>
                <w:rFonts w:ascii="ＭＳ ゴシック" w:eastAsia="ＭＳ ゴシック" w:hAnsi="ＭＳ ゴシック" w:hint="eastAsia"/>
                <w:szCs w:val="21"/>
              </w:rPr>
            </w:pPr>
            <w:r w:rsidRPr="00376DC2">
              <w:rPr>
                <w:rFonts w:ascii="ＭＳ ゴシック" w:eastAsia="ＭＳ ゴシック" w:hAnsi="ＭＳ ゴシック"/>
                <w:szCs w:val="21"/>
              </w:rPr>
              <w:br w:type="page"/>
            </w:r>
            <w:r w:rsidRPr="00376DC2">
              <w:rPr>
                <w:rFonts w:ascii="ＭＳ ゴシック" w:eastAsia="ＭＳ ゴシック" w:hAnsi="ＭＳ ゴシック" w:hint="eastAsia"/>
                <w:szCs w:val="21"/>
              </w:rPr>
              <w:t>根拠条項</w:t>
            </w:r>
          </w:p>
        </w:tc>
        <w:tc>
          <w:tcPr>
            <w:tcW w:w="1999" w:type="dxa"/>
          </w:tcPr>
          <w:p w:rsidR="00B90B85" w:rsidRPr="00376DC2" w:rsidRDefault="00B90B85" w:rsidP="00C20468">
            <w:pPr>
              <w:jc w:val="cente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項目</w:t>
            </w:r>
          </w:p>
        </w:tc>
        <w:tc>
          <w:tcPr>
            <w:tcW w:w="4871" w:type="dxa"/>
          </w:tcPr>
          <w:p w:rsidR="00B90B85" w:rsidRPr="00376DC2" w:rsidRDefault="00B90B85" w:rsidP="00C20468">
            <w:pPr>
              <w:jc w:val="cente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内容</w:t>
            </w:r>
          </w:p>
        </w:tc>
        <w:tc>
          <w:tcPr>
            <w:tcW w:w="1773" w:type="dxa"/>
          </w:tcPr>
          <w:p w:rsidR="00B90B85" w:rsidRPr="00376DC2" w:rsidRDefault="00B90B85" w:rsidP="00C20468">
            <w:pPr>
              <w:jc w:val="cente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対応状況</w:t>
            </w: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４９</w:t>
            </w:r>
            <w:r w:rsidRPr="00376DC2">
              <w:rPr>
                <w:rFonts w:ascii="ＭＳ ゴシック" w:eastAsia="ＭＳ ゴシック" w:hAnsi="ＭＳ ゴシック" w:hint="eastAsia"/>
                <w:szCs w:val="21"/>
              </w:rPr>
              <w:t>条</w:t>
            </w:r>
          </w:p>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 xml:space="preserve">１項　</w:t>
            </w:r>
          </w:p>
        </w:tc>
        <w:tc>
          <w:tcPr>
            <w:tcW w:w="1999" w:type="dxa"/>
          </w:tcPr>
          <w:p w:rsidR="00B90B85" w:rsidRPr="00376DC2" w:rsidRDefault="00B90B85" w:rsidP="00C20468">
            <w:pPr>
              <w:rPr>
                <w:rFonts w:ascii="ＭＳ ゴシック" w:eastAsia="ＭＳ ゴシック" w:hAnsi="ＭＳ ゴシック" w:hint="eastAsia"/>
                <w:szCs w:val="21"/>
              </w:rPr>
            </w:pPr>
          </w:p>
        </w:tc>
        <w:tc>
          <w:tcPr>
            <w:tcW w:w="4871" w:type="dxa"/>
          </w:tcPr>
          <w:p w:rsidR="00B90B85" w:rsidRPr="00376DC2"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前条に規定する場合以外の場合（液化石油ガスを燃料として使用する車両に固定した容器（当該車両の燃料の用のみに供するものに限る。）による場合を除く。）における法第二十三条第一項の経済産業省令で定める保安上必要な措置及び同条第二項の経済産業省令で定める技術上の基準は、次の各号に掲げるものとする。</w:t>
            </w:r>
          </w:p>
        </w:tc>
        <w:tc>
          <w:tcPr>
            <w:tcW w:w="1773" w:type="dxa"/>
            <w:vAlign w:val="center"/>
          </w:tcPr>
          <w:p w:rsidR="00B90B85" w:rsidRPr="00376DC2" w:rsidRDefault="00B90B85" w:rsidP="00C20468">
            <w:pPr>
              <w:ind w:leftChars="-60" w:left="-126" w:rightChars="-47" w:right="-99"/>
              <w:rPr>
                <w:rFonts w:ascii="ＭＳ ゴシック" w:eastAsia="ＭＳ ゴシック" w:hAnsi="ＭＳ ゴシック" w:hint="eastAsia"/>
                <w:szCs w:val="21"/>
              </w:rPr>
            </w:pP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１号</w:t>
            </w:r>
          </w:p>
        </w:tc>
        <w:tc>
          <w:tcPr>
            <w:tcW w:w="1999" w:type="dxa"/>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警戒標</w:t>
            </w:r>
          </w:p>
        </w:tc>
        <w:tc>
          <w:tcPr>
            <w:tcW w:w="4871" w:type="dxa"/>
          </w:tcPr>
          <w:p w:rsidR="00B90B85" w:rsidRPr="00376DC2"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車両に積載して移動するときは、当該車両の見やすい箇所に警戒標を掲げること。ただし、容器の内容積が二十五リットル以下である充填容器等のみを積載した車両であつて、当該積載容器の内容積の合計が五十リットル以下である場合にあつては、この限りでない。</w:t>
            </w:r>
          </w:p>
        </w:tc>
        <w:tc>
          <w:tcPr>
            <w:tcW w:w="1773" w:type="dxa"/>
          </w:tcPr>
          <w:p w:rsidR="00B90B85" w:rsidRPr="00376DC2" w:rsidRDefault="00B90B85" w:rsidP="00C20468">
            <w:pPr>
              <w:rPr>
                <w:rFonts w:ascii="ＭＳ ゴシック" w:eastAsia="ＭＳ ゴシック" w:hAnsi="ＭＳ ゴシック" w:hint="eastAsia"/>
                <w:szCs w:val="21"/>
              </w:rPr>
            </w:pPr>
            <w:bookmarkStart w:id="0" w:name="_GoBack"/>
            <w:bookmarkEnd w:id="0"/>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１の２号</w:t>
            </w:r>
          </w:p>
        </w:tc>
        <w:tc>
          <w:tcPr>
            <w:tcW w:w="1999" w:type="dxa"/>
          </w:tcPr>
          <w:p w:rsidR="00B90B85"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移動に使用できない容器</w:t>
            </w:r>
          </w:p>
        </w:tc>
        <w:tc>
          <w:tcPr>
            <w:tcW w:w="4871" w:type="dxa"/>
          </w:tcPr>
          <w:p w:rsidR="00B90B85" w:rsidRPr="00AE353D"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一般複合容器であつて当該容器の刻印等に示された年月から十五年を経過したものを、液化石油ガスの移動に使用しないこと。</w:t>
            </w:r>
          </w:p>
        </w:tc>
        <w:tc>
          <w:tcPr>
            <w:tcW w:w="1773" w:type="dxa"/>
          </w:tcPr>
          <w:p w:rsidR="00B90B85" w:rsidRPr="00376DC2" w:rsidRDefault="00B90B85" w:rsidP="00C20468">
            <w:pPr>
              <w:rPr>
                <w:rFonts w:ascii="ＭＳ ゴシック" w:eastAsia="ＭＳ ゴシック" w:hAnsi="ＭＳ ゴシック" w:hint="eastAsia"/>
                <w:szCs w:val="21"/>
              </w:rPr>
            </w:pP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２号</w:t>
            </w:r>
          </w:p>
        </w:tc>
        <w:tc>
          <w:tcPr>
            <w:tcW w:w="1999" w:type="dxa"/>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充てん容器等の温度管理</w:t>
            </w:r>
          </w:p>
        </w:tc>
        <w:tc>
          <w:tcPr>
            <w:tcW w:w="4871" w:type="dxa"/>
          </w:tcPr>
          <w:p w:rsidR="00B90B85" w:rsidRPr="00376DC2"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充填容器等は、常に温度四十度以下に保つこと。</w:t>
            </w:r>
          </w:p>
        </w:tc>
        <w:tc>
          <w:tcPr>
            <w:tcW w:w="1773" w:type="dxa"/>
          </w:tcPr>
          <w:p w:rsidR="00B90B85" w:rsidRPr="00376DC2" w:rsidRDefault="00B90B85" w:rsidP="00C20468">
            <w:pPr>
              <w:ind w:leftChars="-60" w:left="-126" w:rightChars="-47" w:right="-99"/>
              <w:rPr>
                <w:rFonts w:ascii="ＭＳ ゴシック" w:eastAsia="ＭＳ ゴシック" w:hAnsi="ＭＳ ゴシック" w:hint="eastAsia"/>
                <w:szCs w:val="21"/>
              </w:rPr>
            </w:pP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３号</w:t>
            </w:r>
          </w:p>
        </w:tc>
        <w:tc>
          <w:tcPr>
            <w:tcW w:w="1999" w:type="dxa"/>
            <w:vMerge w:val="restart"/>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転落・転倒等防止措置</w:t>
            </w:r>
          </w:p>
        </w:tc>
        <w:tc>
          <w:tcPr>
            <w:tcW w:w="4871" w:type="dxa"/>
          </w:tcPr>
          <w:p w:rsidR="00B90B85" w:rsidRPr="00376DC2"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突出したバルブのある充填容器等には、固定式プロテクター又はキャップを施すこと。</w:t>
            </w:r>
          </w:p>
        </w:tc>
        <w:tc>
          <w:tcPr>
            <w:tcW w:w="1773" w:type="dxa"/>
          </w:tcPr>
          <w:p w:rsidR="00B90B85" w:rsidRPr="00376DC2" w:rsidRDefault="00B90B85" w:rsidP="00C20468">
            <w:pPr>
              <w:ind w:leftChars="-60" w:left="-126" w:rightChars="-47" w:right="-99"/>
              <w:rPr>
                <w:rFonts w:ascii="ＭＳ ゴシック" w:eastAsia="ＭＳ ゴシック" w:hAnsi="ＭＳ ゴシック" w:hint="eastAsia"/>
                <w:szCs w:val="21"/>
              </w:rPr>
            </w:pP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４号</w:t>
            </w:r>
          </w:p>
        </w:tc>
        <w:tc>
          <w:tcPr>
            <w:tcW w:w="1999" w:type="dxa"/>
            <w:vMerge/>
          </w:tcPr>
          <w:p w:rsidR="00B90B85" w:rsidRPr="00376DC2" w:rsidRDefault="00B90B85" w:rsidP="00C20468">
            <w:pPr>
              <w:rPr>
                <w:rFonts w:ascii="ＭＳ ゴシック" w:eastAsia="ＭＳ ゴシック" w:hAnsi="ＭＳ ゴシック" w:hint="eastAsia"/>
                <w:szCs w:val="21"/>
              </w:rPr>
            </w:pPr>
          </w:p>
        </w:tc>
        <w:tc>
          <w:tcPr>
            <w:tcW w:w="4871" w:type="dxa"/>
          </w:tcPr>
          <w:p w:rsidR="00B90B85" w:rsidRPr="00376DC2"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充填容器等は、転落、転倒等による衝撃及びバルブの損傷を防止する措置を講じ、かつ、粗暴な取扱いをしないこと。</w:t>
            </w:r>
          </w:p>
        </w:tc>
        <w:tc>
          <w:tcPr>
            <w:tcW w:w="1773" w:type="dxa"/>
          </w:tcPr>
          <w:p w:rsidR="00B90B85" w:rsidRPr="00376DC2" w:rsidRDefault="00B90B85" w:rsidP="00C20468">
            <w:pPr>
              <w:ind w:leftChars="-60" w:left="-126" w:rightChars="-47" w:right="-99"/>
              <w:rPr>
                <w:rFonts w:ascii="ＭＳ ゴシック" w:eastAsia="ＭＳ ゴシック" w:hAnsi="ＭＳ ゴシック" w:hint="eastAsia"/>
                <w:szCs w:val="21"/>
              </w:rPr>
            </w:pP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５号</w:t>
            </w:r>
          </w:p>
        </w:tc>
        <w:tc>
          <w:tcPr>
            <w:tcW w:w="1999" w:type="dxa"/>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消火設備及び防災工具等</w:t>
            </w:r>
          </w:p>
        </w:tc>
        <w:tc>
          <w:tcPr>
            <w:tcW w:w="4871" w:type="dxa"/>
          </w:tcPr>
          <w:p w:rsidR="00B90B85" w:rsidRPr="00376DC2" w:rsidRDefault="00B90B85" w:rsidP="00C20468">
            <w:pPr>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 xml:space="preserve">　充填容器等を車両に積載して移動するときは、消火設備並びに災害発生防止のための応急措置に必要な資材及び工具等を携行すること。ただし、容器の内容積が二十五リットル以下である充填容器等のみを積載した車両であつて、当該積載容器の内容積の合計が五十リットル以下である場合にあつては、この限りでない。</w:t>
            </w:r>
          </w:p>
        </w:tc>
        <w:tc>
          <w:tcPr>
            <w:tcW w:w="1773" w:type="dxa"/>
          </w:tcPr>
          <w:p w:rsidR="00B90B85" w:rsidRPr="00376DC2" w:rsidRDefault="00B90B85" w:rsidP="00C20468">
            <w:pPr>
              <w:ind w:leftChars="-60" w:left="-126" w:rightChars="-47" w:right="-99"/>
              <w:rPr>
                <w:rFonts w:ascii="ＭＳ ゴシック" w:eastAsia="ＭＳ ゴシック" w:hAnsi="ＭＳ ゴシック" w:hint="eastAsia"/>
                <w:szCs w:val="21"/>
              </w:rPr>
            </w:pP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６号</w:t>
            </w:r>
          </w:p>
        </w:tc>
        <w:tc>
          <w:tcPr>
            <w:tcW w:w="1999" w:type="dxa"/>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混載禁止</w:t>
            </w:r>
          </w:p>
        </w:tc>
        <w:tc>
          <w:tcPr>
            <w:tcW w:w="4871" w:type="dxa"/>
          </w:tcPr>
          <w:p w:rsidR="00B90B85" w:rsidRPr="00376DC2"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充填容器等は、消防法（昭和二十三年法律第百八十六号）第二条第七項に規定する危険物と同一の車両に積載して移動しないこと。ただし、内容積百二十リットル未満の充填容器等と同法別表に掲げる第四類の危険物との場合にあつては、この限りでない。</w:t>
            </w:r>
          </w:p>
        </w:tc>
        <w:tc>
          <w:tcPr>
            <w:tcW w:w="1773" w:type="dxa"/>
          </w:tcPr>
          <w:p w:rsidR="00B90B85" w:rsidRPr="00376DC2" w:rsidRDefault="00B90B85" w:rsidP="00C20468">
            <w:pPr>
              <w:rPr>
                <w:rFonts w:ascii="ＭＳ ゴシック" w:eastAsia="ＭＳ ゴシック" w:hAnsi="ＭＳ ゴシック" w:hint="eastAsia"/>
                <w:szCs w:val="21"/>
              </w:rPr>
            </w:pP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lastRenderedPageBreak/>
              <w:t>７号</w:t>
            </w:r>
          </w:p>
        </w:tc>
        <w:tc>
          <w:tcPr>
            <w:tcW w:w="1999" w:type="dxa"/>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駐車時の措置</w:t>
            </w:r>
          </w:p>
        </w:tc>
        <w:tc>
          <w:tcPr>
            <w:tcW w:w="4871" w:type="dxa"/>
          </w:tcPr>
          <w:p w:rsidR="00B90B85" w:rsidRPr="00376DC2"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充填容器等を車両に積載して移動する場合において、駐車するときは、当該充填容器等の積み卸しを行うときを除き、第一種保安物件の近辺及び第二種保安物件が密集する地域を避けるとともに、交通量が少ない安全な場所を選び、かつ、移動監視者又は運転者は食事その他やむを得ない場合を除き、当該車両を離れないこと。ただし、容器の内容積が二十五リットル以下である充填容器等のみを積載した車両であつて、当該積載容器の内容積の合計が五十リットル以下である場合にあつては、この限りでない。</w:t>
            </w:r>
          </w:p>
        </w:tc>
        <w:tc>
          <w:tcPr>
            <w:tcW w:w="1773" w:type="dxa"/>
          </w:tcPr>
          <w:p w:rsidR="00B90B85" w:rsidRPr="00376DC2" w:rsidRDefault="00B90B85" w:rsidP="00C20468">
            <w:pPr>
              <w:ind w:leftChars="-60" w:left="-126" w:rightChars="-47" w:right="-99"/>
              <w:rPr>
                <w:rFonts w:ascii="ＭＳ ゴシック" w:eastAsia="ＭＳ ゴシック" w:hAnsi="ＭＳ ゴシック" w:hint="eastAsia"/>
                <w:szCs w:val="21"/>
              </w:rPr>
            </w:pP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８号</w:t>
            </w:r>
          </w:p>
        </w:tc>
        <w:tc>
          <w:tcPr>
            <w:tcW w:w="1999" w:type="dxa"/>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準用規定①</w:t>
            </w:r>
          </w:p>
        </w:tc>
        <w:tc>
          <w:tcPr>
            <w:tcW w:w="4871" w:type="dxa"/>
          </w:tcPr>
          <w:p w:rsidR="00B90B85" w:rsidRPr="00376DC2"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質量三千キログラム以上の液化石油ガスを移動するとき（液化石油ガスの充填容器等を車両に積載して移動するときに限る。）は、前条第十四号から第十八号までの基準を準用する。この場合において、前条第十七号ロ中「容器を固定した車両」とあるのは、「当該ガスの充填容器等を積載した車両」と読み替えるものとする。</w:t>
            </w:r>
          </w:p>
        </w:tc>
        <w:tc>
          <w:tcPr>
            <w:tcW w:w="1773" w:type="dxa"/>
          </w:tcPr>
          <w:p w:rsidR="00B90B85" w:rsidRPr="00376DC2" w:rsidRDefault="00B90B85" w:rsidP="00C20468">
            <w:pPr>
              <w:ind w:leftChars="-60" w:left="-126" w:rightChars="-47" w:right="-99"/>
              <w:rPr>
                <w:rFonts w:ascii="ＭＳ ゴシック" w:eastAsia="ＭＳ ゴシック" w:hAnsi="ＭＳ ゴシック" w:hint="eastAsia"/>
                <w:szCs w:val="21"/>
              </w:rPr>
            </w:pPr>
          </w:p>
        </w:tc>
      </w:tr>
      <w:tr w:rsidR="00B90B85" w:rsidRPr="00376DC2" w:rsidTr="00C20468">
        <w:tblPrEx>
          <w:tblCellMar>
            <w:top w:w="0" w:type="dxa"/>
            <w:bottom w:w="0" w:type="dxa"/>
          </w:tblCellMar>
        </w:tblPrEx>
        <w:trPr>
          <w:cantSplit/>
        </w:trPr>
        <w:tc>
          <w:tcPr>
            <w:tcW w:w="1077" w:type="dxa"/>
          </w:tcPr>
          <w:p w:rsidR="00B90B85" w:rsidRPr="00376DC2" w:rsidRDefault="00B90B85" w:rsidP="00C20468">
            <w:pPr>
              <w:rPr>
                <w:rFonts w:ascii="ＭＳ ゴシック" w:eastAsia="ＭＳ ゴシック" w:hAnsi="ＭＳ ゴシック" w:hint="eastAsia"/>
                <w:szCs w:val="21"/>
              </w:rPr>
            </w:pPr>
            <w:r w:rsidRPr="00376DC2">
              <w:rPr>
                <w:rFonts w:ascii="ＭＳ ゴシック" w:eastAsia="ＭＳ ゴシック" w:hAnsi="ＭＳ ゴシック" w:hint="eastAsia"/>
                <w:szCs w:val="21"/>
              </w:rPr>
              <w:t>９号</w:t>
            </w:r>
          </w:p>
        </w:tc>
        <w:tc>
          <w:tcPr>
            <w:tcW w:w="1999" w:type="dxa"/>
          </w:tcPr>
          <w:p w:rsidR="00B90B85" w:rsidRPr="00376DC2" w:rsidRDefault="00B90B85" w:rsidP="00C20468">
            <w:pPr>
              <w:rPr>
                <w:rFonts w:ascii="ＭＳ ゴシック" w:eastAsia="ＭＳ ゴシック" w:hAnsi="ＭＳ ゴシック" w:hint="eastAsia"/>
                <w:szCs w:val="21"/>
              </w:rPr>
            </w:pPr>
            <w:r>
              <w:rPr>
                <w:rFonts w:ascii="ＭＳ ゴシック" w:eastAsia="ＭＳ ゴシック" w:hAnsi="ＭＳ ゴシック" w:hint="eastAsia"/>
                <w:szCs w:val="21"/>
              </w:rPr>
              <w:t>準用規定②</w:t>
            </w:r>
          </w:p>
        </w:tc>
        <w:tc>
          <w:tcPr>
            <w:tcW w:w="4871" w:type="dxa"/>
          </w:tcPr>
          <w:p w:rsidR="00B90B85" w:rsidRPr="00376DC2" w:rsidRDefault="00B90B85" w:rsidP="00C20468">
            <w:pPr>
              <w:ind w:firstLineChars="100" w:firstLine="210"/>
              <w:rPr>
                <w:rFonts w:ascii="ＭＳ ゴシック" w:eastAsia="ＭＳ ゴシック" w:hAnsi="ＭＳ ゴシック" w:hint="eastAsia"/>
                <w:szCs w:val="21"/>
              </w:rPr>
            </w:pPr>
            <w:r w:rsidRPr="00AE353D">
              <w:rPr>
                <w:rFonts w:ascii="ＭＳ ゴシック" w:eastAsia="ＭＳ ゴシック" w:hAnsi="ＭＳ ゴシック" w:hint="eastAsia"/>
                <w:szCs w:val="21"/>
              </w:rPr>
              <w:t>液化石油ガスを移動するとき（液化石油ガスの充填容器等を車両に積載して移動するときに限る。）は、前条第十八号の基準を準用する。ただし、容器の内容積が二十五リットル以下である充填容器等（液化石油ガス移動時の注意事項を示したラベルが貼付されているものに限る。）のみを積載した車両であつて、当該積載容器の内容積の合計が五十リットル以下である場合にあつては、この限りでない。</w:t>
            </w:r>
          </w:p>
        </w:tc>
        <w:tc>
          <w:tcPr>
            <w:tcW w:w="1773" w:type="dxa"/>
          </w:tcPr>
          <w:p w:rsidR="00B90B85" w:rsidRPr="00376DC2" w:rsidRDefault="00B90B85" w:rsidP="00C20468">
            <w:pPr>
              <w:rPr>
                <w:rFonts w:ascii="ＭＳ ゴシック" w:eastAsia="ＭＳ ゴシック" w:hAnsi="ＭＳ ゴシック" w:hint="eastAsia"/>
                <w:szCs w:val="21"/>
              </w:rPr>
            </w:pPr>
          </w:p>
        </w:tc>
      </w:tr>
    </w:tbl>
    <w:p w:rsidR="00B90B85" w:rsidRDefault="00B90B85" w:rsidP="00B90B85">
      <w:pPr>
        <w:ind w:leftChars="-171" w:left="-359" w:rightChars="-85" w:right="-178"/>
        <w:jc w:val="center"/>
        <w:rPr>
          <w:rFonts w:ascii="ＭＳ ゴシック" w:eastAsia="ＭＳ ゴシック" w:hAnsi="ＭＳ ゴシック"/>
          <w:sz w:val="24"/>
        </w:rPr>
      </w:pPr>
    </w:p>
    <w:p w:rsidR="00884FBD" w:rsidRPr="00B90B85" w:rsidRDefault="00884FBD"/>
    <w:sectPr w:rsidR="00884FBD" w:rsidRPr="00B90B85">
      <w:footerReference w:type="even" r:id="rId6"/>
      <w:footerReference w:type="default" r:id="rId7"/>
      <w:pgSz w:w="11906" w:h="16838"/>
      <w:pgMar w:top="720" w:right="1286" w:bottom="900" w:left="1260"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0B85" w:rsidRDefault="00B90B85" w:rsidP="00C26180">
      <w:r>
        <w:separator/>
      </w:r>
    </w:p>
  </w:endnote>
  <w:endnote w:type="continuationSeparator" w:id="0">
    <w:p w:rsidR="00B90B85" w:rsidRDefault="00B90B85"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257E100D-81EA-4F53-A772-73585B7FA20F}"/>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embedRegular r:id="rId2" w:fontKey="{85B643FB-97D8-4EF3-B4C4-736E90C5D4F8}"/>
  </w:font>
  <w:font w:name="ＭＳ ゴシック">
    <w:altName w:val="MS Gothic"/>
    <w:panose1 w:val="020B0609070205080204"/>
    <w:charset w:val="80"/>
    <w:family w:val="modern"/>
    <w:pitch w:val="fixed"/>
    <w:sig w:usb0="E00002FF" w:usb1="6AC7FDFB" w:usb2="08000012" w:usb3="00000000" w:csb0="0002009F" w:csb1="00000000"/>
    <w:embedRegular r:id="rId3" w:subsetted="1" w:fontKey="{8F253091-7207-44C0-B826-870D8694E1BA}"/>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4" w:fontKey="{43BEE34E-4E34-47EF-80DF-748D12D6ACCB}"/>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B90B85">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1B1528" w:rsidRDefault="00B90B85">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B90B85">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Pr>
        <w:rStyle w:val="a7"/>
        <w:noProof/>
      </w:rPr>
      <w:t>1</w:t>
    </w:r>
    <w:r>
      <w:rPr>
        <w:rStyle w:val="a7"/>
      </w:rPr>
      <w:fldChar w:fldCharType="end"/>
    </w:r>
  </w:p>
  <w:p w:rsidR="001B1528" w:rsidRDefault="00B90B85">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0B85" w:rsidRDefault="00B90B85" w:rsidP="00C26180">
      <w:r>
        <w:separator/>
      </w:r>
    </w:p>
  </w:footnote>
  <w:footnote w:type="continuationSeparator" w:id="0">
    <w:p w:rsidR="00B90B85" w:rsidRDefault="00B90B85" w:rsidP="00C261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proofState w:spelling="clean" w:grammar="dirty"/>
  <w:defaultTabStop w:val="840"/>
  <w:drawingGridHorizontalSpacing w:val="105"/>
  <w:drawingGridVerticalSpacing w:val="367"/>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0B85"/>
    <w:rsid w:val="004A1191"/>
    <w:rsid w:val="00884FBD"/>
    <w:rsid w:val="00B90B85"/>
    <w:rsid w:val="00C26180"/>
    <w:rsid w:val="00CA2E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9186D90D-1950-43AB-B433-C5D0B6FCE8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90B85"/>
    <w:pPr>
      <w:widowControl w:val="0"/>
      <w:jc w:val="both"/>
    </w:pPr>
    <w:rPr>
      <w:rFonts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snapToGrid w:val="0"/>
    </w:pPr>
    <w:rPr>
      <w:rFonts w:cstheme="minorBidi"/>
      <w:szCs w:val="22"/>
    </w:rPr>
  </w:style>
  <w:style w:type="character" w:customStyle="1" w:styleId="a4">
    <w:name w:val="ヘッダー (文字)"/>
    <w:basedOn w:val="a0"/>
    <w:link w:val="a3"/>
    <w:uiPriority w:val="99"/>
    <w:rsid w:val="00C26180"/>
  </w:style>
  <w:style w:type="paragraph" w:styleId="a5">
    <w:name w:val="footer"/>
    <w:basedOn w:val="a"/>
    <w:link w:val="a6"/>
    <w:unhideWhenUsed/>
    <w:rsid w:val="00C26180"/>
    <w:pPr>
      <w:tabs>
        <w:tab w:val="center" w:pos="4252"/>
        <w:tab w:val="right" w:pos="8504"/>
      </w:tabs>
      <w:snapToGrid w:val="0"/>
    </w:pPr>
    <w:rPr>
      <w:rFonts w:cstheme="minorBidi"/>
      <w:szCs w:val="22"/>
    </w:rPr>
  </w:style>
  <w:style w:type="character" w:customStyle="1" w:styleId="a6">
    <w:name w:val="フッター (文字)"/>
    <w:basedOn w:val="a0"/>
    <w:link w:val="a5"/>
    <w:uiPriority w:val="99"/>
    <w:rsid w:val="00C26180"/>
  </w:style>
  <w:style w:type="character" w:styleId="a7">
    <w:name w:val="page number"/>
    <w:basedOn w:val="a0"/>
    <w:semiHidden/>
    <w:rsid w:val="00B90B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222</Words>
  <Characters>1269</Characters>
  <Application>Microsoft Office Word</Application>
  <DocSecurity>0</DocSecurity>
  <Lines>10</Lines>
  <Paragraphs>2</Paragraphs>
  <ScaleCrop>false</ScaleCrop>
  <Company/>
  <LinksUpToDate>false</LinksUpToDate>
  <CharactersWithSpaces>1489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1</cp:revision>
  <dcterms:created xsi:type="dcterms:W3CDTF">2022-11-29T09:08:00Z</dcterms:created>
  <dcterms:modified xsi:type="dcterms:W3CDTF">2022-11-29T09:09:00Z</dcterms:modified>
</cp:coreProperties>
</file>