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F1A08" w:rsidRDefault="00AF1A08" w:rsidP="00AF1A08">
      <w:pPr>
        <w:ind w:leftChars="-342" w:left="-718" w:rightChars="-171" w:right="-359"/>
        <w:jc w:val="right"/>
        <w:rPr>
          <w:rFonts w:ascii="ＭＳ ゴシック" w:eastAsia="ＭＳ ゴシック" w:hAnsi="ＭＳ ゴシック" w:hint="eastAsia"/>
        </w:rPr>
      </w:pPr>
      <w:r>
        <w:rPr>
          <w:rFonts w:ascii="ＭＳ ゴシック" w:eastAsia="ＭＳ ゴシック" w:hAnsi="ＭＳ ゴシック" w:hint="eastAsia"/>
        </w:rPr>
        <w:t>別添（</w:t>
      </w:r>
      <w:r>
        <w:rPr>
          <w:rFonts w:ascii="ＭＳ ゴシック" w:eastAsia="ＭＳ ゴシック" w:hAnsi="ＭＳ ゴシック" w:hint="eastAsia"/>
          <w:u w:val="single"/>
        </w:rPr>
        <w:t xml:space="preserve">　　　</w:t>
      </w:r>
      <w:r>
        <w:rPr>
          <w:rFonts w:ascii="ＭＳ ゴシック" w:eastAsia="ＭＳ ゴシック" w:hAnsi="ＭＳ ゴシック" w:hint="eastAsia"/>
        </w:rPr>
        <w:t>）</w:t>
      </w:r>
    </w:p>
    <w:p w:rsidR="00AF1A08" w:rsidRDefault="00AF1A08" w:rsidP="00AF1A08">
      <w:pPr>
        <w:ind w:leftChars="-171" w:left="-359" w:rightChars="-85" w:right="-178"/>
        <w:jc w:val="center"/>
        <w:rPr>
          <w:rFonts w:ascii="ＭＳ ゴシック" w:eastAsia="ＭＳ ゴシック" w:hAnsi="ＭＳ ゴシック" w:hint="eastAsia"/>
        </w:rPr>
      </w:pPr>
      <w:r>
        <w:rPr>
          <w:rFonts w:ascii="ＭＳ ゴシック" w:eastAsia="ＭＳ ゴシック" w:hAnsi="ＭＳ ゴシック" w:hint="eastAsia"/>
          <w:sz w:val="24"/>
        </w:rPr>
        <w:t>液化石油ガス保安規則第４1条に定める技術上の基準についての対応状況</w:t>
      </w:r>
    </w:p>
    <w:p w:rsidR="00AF1A08" w:rsidRDefault="00AF1A08" w:rsidP="00AF1A08">
      <w:pPr>
        <w:ind w:leftChars="-342" w:left="-718" w:rightChars="-85" w:right="-178"/>
        <w:jc w:val="right"/>
        <w:rPr>
          <w:rFonts w:ascii="ＭＳ ゴシック" w:eastAsia="ＭＳ ゴシック" w:hAnsi="ＭＳ ゴシック" w:hint="eastAsia"/>
        </w:rPr>
      </w:pPr>
      <w:r>
        <w:rPr>
          <w:rFonts w:ascii="ＭＳ ゴシック" w:eastAsia="ＭＳ ゴシック" w:hAnsi="ＭＳ ゴシック" w:hint="eastAsia"/>
          <w:sz w:val="18"/>
        </w:rPr>
        <w:t>（販売業者等に係る技術上の基準）</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99" w:type="dxa"/>
          <w:right w:w="99" w:type="dxa"/>
        </w:tblCellMar>
        <w:tblLook w:val="0000" w:firstRow="0" w:lastRow="0" w:firstColumn="0" w:lastColumn="0" w:noHBand="0" w:noVBand="0"/>
      </w:tblPr>
      <w:tblGrid>
        <w:gridCol w:w="1077"/>
        <w:gridCol w:w="1999"/>
        <w:gridCol w:w="4871"/>
        <w:gridCol w:w="1773"/>
      </w:tblGrid>
      <w:tr w:rsidR="00AF1A08" w:rsidRPr="002C09F4" w:rsidTr="00593EA0">
        <w:tblPrEx>
          <w:tblCellMar>
            <w:top w:w="0" w:type="dxa"/>
            <w:bottom w:w="0" w:type="dxa"/>
          </w:tblCellMar>
        </w:tblPrEx>
        <w:trPr>
          <w:trHeight w:val="354"/>
        </w:trPr>
        <w:tc>
          <w:tcPr>
            <w:tcW w:w="1077" w:type="dxa"/>
            <w:tcBorders>
              <w:bottom w:val="single" w:sz="4" w:space="0" w:color="auto"/>
            </w:tcBorders>
          </w:tcPr>
          <w:p w:rsidR="00AF1A08" w:rsidRPr="002C09F4" w:rsidRDefault="00AF1A08" w:rsidP="00593EA0">
            <w:pPr>
              <w:jc w:val="center"/>
              <w:rPr>
                <w:rFonts w:ascii="ＭＳ ゴシック" w:eastAsia="ＭＳ ゴシック" w:hAnsi="ＭＳ ゴシック" w:hint="eastAsia"/>
                <w:szCs w:val="21"/>
              </w:rPr>
            </w:pPr>
            <w:r w:rsidRPr="002C09F4">
              <w:rPr>
                <w:rFonts w:ascii="ＭＳ ゴシック" w:eastAsia="ＭＳ ゴシック" w:hAnsi="ＭＳ ゴシック"/>
                <w:szCs w:val="21"/>
              </w:rPr>
              <w:br w:type="page"/>
            </w:r>
            <w:r w:rsidRPr="002C09F4">
              <w:rPr>
                <w:rFonts w:ascii="ＭＳ ゴシック" w:eastAsia="ＭＳ ゴシック" w:hAnsi="ＭＳ ゴシック" w:hint="eastAsia"/>
                <w:szCs w:val="21"/>
              </w:rPr>
              <w:t>根拠条項</w:t>
            </w:r>
          </w:p>
        </w:tc>
        <w:tc>
          <w:tcPr>
            <w:tcW w:w="1999" w:type="dxa"/>
          </w:tcPr>
          <w:p w:rsidR="00AF1A08" w:rsidRPr="002C09F4" w:rsidRDefault="00AF1A08" w:rsidP="00593EA0">
            <w:pPr>
              <w:jc w:val="center"/>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項目</w:t>
            </w:r>
          </w:p>
        </w:tc>
        <w:tc>
          <w:tcPr>
            <w:tcW w:w="4871" w:type="dxa"/>
          </w:tcPr>
          <w:p w:rsidR="00AF1A08" w:rsidRPr="002C09F4" w:rsidRDefault="00AF1A08" w:rsidP="00593EA0">
            <w:pPr>
              <w:jc w:val="center"/>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内容</w:t>
            </w:r>
          </w:p>
        </w:tc>
        <w:tc>
          <w:tcPr>
            <w:tcW w:w="1773" w:type="dxa"/>
          </w:tcPr>
          <w:p w:rsidR="00AF1A08" w:rsidRPr="002C09F4" w:rsidRDefault="00AF1A08" w:rsidP="00593EA0">
            <w:pPr>
              <w:jc w:val="center"/>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対応状況</w:t>
            </w:r>
          </w:p>
        </w:tc>
      </w:tr>
      <w:tr w:rsidR="00AF1A08" w:rsidRPr="002C09F4" w:rsidTr="00593EA0">
        <w:tblPrEx>
          <w:tblCellMar>
            <w:top w:w="0" w:type="dxa"/>
            <w:bottom w:w="0" w:type="dxa"/>
          </w:tblCellMar>
        </w:tblPrEx>
        <w:trPr>
          <w:cantSplit/>
        </w:trPr>
        <w:tc>
          <w:tcPr>
            <w:tcW w:w="1077" w:type="dxa"/>
          </w:tcPr>
          <w:p w:rsidR="00AF1A08" w:rsidRPr="002C09F4" w:rsidRDefault="00AF1A08" w:rsidP="00593EA0">
            <w:pPr>
              <w:rPr>
                <w:rFonts w:ascii="ＭＳ ゴシック" w:eastAsia="ＭＳ ゴシック" w:hAnsi="ＭＳ ゴシック" w:hint="eastAsia"/>
                <w:szCs w:val="21"/>
              </w:rPr>
            </w:pPr>
            <w:r>
              <w:rPr>
                <w:rFonts w:ascii="ＭＳ ゴシック" w:eastAsia="ＭＳ ゴシック" w:hAnsi="ＭＳ ゴシック" w:hint="eastAsia"/>
                <w:szCs w:val="21"/>
              </w:rPr>
              <w:t>４1</w:t>
            </w:r>
            <w:r w:rsidRPr="002C09F4">
              <w:rPr>
                <w:rFonts w:ascii="ＭＳ ゴシック" w:eastAsia="ＭＳ ゴシック" w:hAnsi="ＭＳ ゴシック" w:hint="eastAsia"/>
                <w:szCs w:val="21"/>
              </w:rPr>
              <w:t>条</w:t>
            </w:r>
          </w:p>
          <w:p w:rsidR="00AF1A08" w:rsidRPr="002C09F4" w:rsidRDefault="00AF1A08" w:rsidP="00593EA0">
            <w:pPr>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 xml:space="preserve">１号　</w:t>
            </w:r>
          </w:p>
        </w:tc>
        <w:tc>
          <w:tcPr>
            <w:tcW w:w="1999" w:type="dxa"/>
          </w:tcPr>
          <w:p w:rsidR="00AF1A08" w:rsidRPr="002C09F4" w:rsidRDefault="00AF1A08" w:rsidP="00593EA0">
            <w:pPr>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販売先保安台帳</w:t>
            </w:r>
          </w:p>
        </w:tc>
        <w:tc>
          <w:tcPr>
            <w:tcW w:w="4871" w:type="dxa"/>
          </w:tcPr>
          <w:p w:rsidR="00AF1A08" w:rsidRPr="002C09F4" w:rsidRDefault="00AF1A08" w:rsidP="00593EA0">
            <w:pPr>
              <w:ind w:firstLineChars="100" w:firstLine="210"/>
              <w:rPr>
                <w:rFonts w:ascii="ＭＳ ゴシック" w:eastAsia="ＭＳ ゴシック" w:hAnsi="ＭＳ ゴシック" w:hint="eastAsia"/>
                <w:szCs w:val="21"/>
              </w:rPr>
            </w:pPr>
            <w:r w:rsidRPr="00DE04E4">
              <w:rPr>
                <w:rFonts w:ascii="ＭＳ ゴシック" w:eastAsia="ＭＳ ゴシック" w:hAnsi="ＭＳ ゴシック" w:hint="eastAsia"/>
                <w:szCs w:val="21"/>
              </w:rPr>
              <w:t>液化石油ガスの引渡先の保安状況を明記した台帳を備えること。</w:t>
            </w:r>
          </w:p>
        </w:tc>
        <w:tc>
          <w:tcPr>
            <w:tcW w:w="1773" w:type="dxa"/>
            <w:vAlign w:val="center"/>
          </w:tcPr>
          <w:p w:rsidR="00AF1A08" w:rsidRPr="002C09F4" w:rsidRDefault="00AF1A08" w:rsidP="00593EA0">
            <w:pPr>
              <w:ind w:leftChars="-60" w:left="-126" w:rightChars="-47" w:right="-99"/>
              <w:rPr>
                <w:rFonts w:ascii="ＭＳ ゴシック" w:eastAsia="ＭＳ ゴシック" w:hAnsi="ＭＳ ゴシック" w:hint="eastAsia"/>
                <w:szCs w:val="21"/>
              </w:rPr>
            </w:pPr>
          </w:p>
        </w:tc>
      </w:tr>
      <w:tr w:rsidR="00AF1A08" w:rsidRPr="002C09F4" w:rsidTr="00593EA0">
        <w:tblPrEx>
          <w:tblCellMar>
            <w:top w:w="0" w:type="dxa"/>
            <w:bottom w:w="0" w:type="dxa"/>
          </w:tblCellMar>
        </w:tblPrEx>
        <w:trPr>
          <w:cantSplit/>
        </w:trPr>
        <w:tc>
          <w:tcPr>
            <w:tcW w:w="1077" w:type="dxa"/>
          </w:tcPr>
          <w:p w:rsidR="00AF1A08" w:rsidRPr="002C09F4" w:rsidRDefault="00AF1A08" w:rsidP="00593EA0">
            <w:pPr>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２号</w:t>
            </w:r>
          </w:p>
        </w:tc>
        <w:tc>
          <w:tcPr>
            <w:tcW w:w="1999" w:type="dxa"/>
          </w:tcPr>
          <w:p w:rsidR="00AF1A08" w:rsidRPr="002C09F4" w:rsidRDefault="00AF1A08" w:rsidP="00593EA0">
            <w:pPr>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容器等の確認</w:t>
            </w:r>
          </w:p>
        </w:tc>
        <w:tc>
          <w:tcPr>
            <w:tcW w:w="4871" w:type="dxa"/>
          </w:tcPr>
          <w:p w:rsidR="00AF1A08" w:rsidRPr="002C09F4" w:rsidRDefault="00AF1A08" w:rsidP="00593EA0">
            <w:pPr>
              <w:ind w:firstLineChars="100" w:firstLine="210"/>
              <w:rPr>
                <w:rFonts w:ascii="ＭＳ ゴシック" w:eastAsia="ＭＳ ゴシック" w:hAnsi="ＭＳ ゴシック" w:hint="eastAsia"/>
                <w:szCs w:val="21"/>
              </w:rPr>
            </w:pPr>
            <w:r w:rsidRPr="00DE04E4">
              <w:rPr>
                <w:rFonts w:ascii="ＭＳ ゴシック" w:eastAsia="ＭＳ ゴシック" w:hAnsi="ＭＳ ゴシック" w:hint="eastAsia"/>
                <w:szCs w:val="21"/>
              </w:rPr>
              <w:t>充填容器等の引渡しは、外面に容器の使用上支障のある腐食、割れ、すじ、しわ等がなく、かつ、液化石油ガスが漏えいしていないものをもつてすること。</w:t>
            </w:r>
          </w:p>
        </w:tc>
        <w:tc>
          <w:tcPr>
            <w:tcW w:w="1773" w:type="dxa"/>
          </w:tcPr>
          <w:p w:rsidR="00AF1A08" w:rsidRPr="002C09F4" w:rsidRDefault="00AF1A08" w:rsidP="00593EA0">
            <w:pPr>
              <w:rPr>
                <w:rFonts w:ascii="ＭＳ ゴシック" w:eastAsia="ＭＳ ゴシック" w:hAnsi="ＭＳ ゴシック" w:hint="eastAsia"/>
                <w:szCs w:val="21"/>
              </w:rPr>
            </w:pPr>
            <w:bookmarkStart w:id="0" w:name="_GoBack"/>
            <w:bookmarkEnd w:id="0"/>
          </w:p>
        </w:tc>
      </w:tr>
      <w:tr w:rsidR="00AF1A08" w:rsidRPr="002C09F4" w:rsidTr="00593EA0">
        <w:tblPrEx>
          <w:tblCellMar>
            <w:top w:w="0" w:type="dxa"/>
            <w:bottom w:w="0" w:type="dxa"/>
          </w:tblCellMar>
        </w:tblPrEx>
        <w:trPr>
          <w:cantSplit/>
        </w:trPr>
        <w:tc>
          <w:tcPr>
            <w:tcW w:w="1077" w:type="dxa"/>
          </w:tcPr>
          <w:p w:rsidR="00AF1A08" w:rsidRPr="002C09F4" w:rsidRDefault="00AF1A08" w:rsidP="00593EA0">
            <w:pPr>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３号</w:t>
            </w:r>
          </w:p>
        </w:tc>
        <w:tc>
          <w:tcPr>
            <w:tcW w:w="1999" w:type="dxa"/>
          </w:tcPr>
          <w:p w:rsidR="00AF1A08" w:rsidRPr="002C09F4" w:rsidRDefault="00AF1A08" w:rsidP="00593EA0">
            <w:pPr>
              <w:rPr>
                <w:rFonts w:ascii="ＭＳ ゴシック" w:eastAsia="ＭＳ ゴシック" w:hAnsi="ＭＳ ゴシック" w:hint="eastAsia"/>
                <w:szCs w:val="21"/>
              </w:rPr>
            </w:pPr>
            <w:r w:rsidRPr="00DE04E4">
              <w:rPr>
                <w:rFonts w:ascii="ＭＳ ゴシック" w:eastAsia="ＭＳ ゴシック" w:hAnsi="ＭＳ ゴシック" w:hint="eastAsia"/>
                <w:szCs w:val="21"/>
              </w:rPr>
              <w:t>充填容器</w:t>
            </w:r>
            <w:r w:rsidRPr="002C09F4">
              <w:rPr>
                <w:rFonts w:ascii="ＭＳ ゴシック" w:eastAsia="ＭＳ ゴシック" w:hAnsi="ＭＳ ゴシック" w:hint="eastAsia"/>
                <w:szCs w:val="21"/>
              </w:rPr>
              <w:t>の引渡し</w:t>
            </w:r>
          </w:p>
        </w:tc>
        <w:tc>
          <w:tcPr>
            <w:tcW w:w="4871" w:type="dxa"/>
          </w:tcPr>
          <w:p w:rsidR="00AF1A08" w:rsidRPr="002C09F4" w:rsidRDefault="00AF1A08" w:rsidP="00593EA0">
            <w:pPr>
              <w:ind w:firstLineChars="100" w:firstLine="210"/>
              <w:rPr>
                <w:rFonts w:ascii="ＭＳ ゴシック" w:eastAsia="ＭＳ ゴシック" w:hAnsi="ＭＳ ゴシック" w:hint="eastAsia"/>
                <w:szCs w:val="21"/>
              </w:rPr>
            </w:pPr>
            <w:r w:rsidRPr="00DE04E4">
              <w:rPr>
                <w:rFonts w:ascii="ＭＳ ゴシック" w:eastAsia="ＭＳ ゴシック" w:hAnsi="ＭＳ ゴシック" w:hint="eastAsia"/>
                <w:szCs w:val="21"/>
              </w:rPr>
              <w:t>充填容器等の引渡しは、法第四十八条第一項第五号の期間（同条第三項の許可に係る充填容器等にあつては同項の規定により条件として付された期間）を六月以上経過していないものであり、かつ、その旨を明示したものをもつてすること。</w:t>
            </w:r>
          </w:p>
        </w:tc>
        <w:tc>
          <w:tcPr>
            <w:tcW w:w="1773" w:type="dxa"/>
          </w:tcPr>
          <w:p w:rsidR="00AF1A08" w:rsidRPr="002C09F4" w:rsidRDefault="00AF1A08" w:rsidP="00593EA0">
            <w:pPr>
              <w:ind w:leftChars="-60" w:left="-126" w:rightChars="-47" w:right="-99"/>
              <w:rPr>
                <w:rFonts w:ascii="ＭＳ ゴシック" w:eastAsia="ＭＳ ゴシック" w:hAnsi="ＭＳ ゴシック" w:hint="eastAsia"/>
                <w:szCs w:val="21"/>
              </w:rPr>
            </w:pPr>
          </w:p>
        </w:tc>
      </w:tr>
      <w:tr w:rsidR="00AF1A08" w:rsidRPr="002C09F4" w:rsidTr="00593EA0">
        <w:tblPrEx>
          <w:tblCellMar>
            <w:top w:w="0" w:type="dxa"/>
            <w:bottom w:w="0" w:type="dxa"/>
          </w:tblCellMar>
        </w:tblPrEx>
        <w:trPr>
          <w:cantSplit/>
          <w:trHeight w:val="1060"/>
        </w:trPr>
        <w:tc>
          <w:tcPr>
            <w:tcW w:w="1077" w:type="dxa"/>
            <w:tcBorders>
              <w:bottom w:val="nil"/>
            </w:tcBorders>
          </w:tcPr>
          <w:p w:rsidR="00AF1A08" w:rsidRPr="002C09F4" w:rsidRDefault="00AF1A08" w:rsidP="00593EA0">
            <w:pPr>
              <w:ind w:right="420"/>
              <w:jc w:val="right"/>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４号</w:t>
            </w:r>
          </w:p>
        </w:tc>
        <w:tc>
          <w:tcPr>
            <w:tcW w:w="1999" w:type="dxa"/>
            <w:vMerge w:val="restart"/>
          </w:tcPr>
          <w:p w:rsidR="00AF1A08" w:rsidRPr="002C09F4" w:rsidRDefault="00AF1A08" w:rsidP="00593EA0">
            <w:pPr>
              <w:rPr>
                <w:rFonts w:ascii="ＭＳ ゴシック" w:eastAsia="ＭＳ ゴシック" w:hAnsi="ＭＳ ゴシック" w:hint="eastAsia"/>
                <w:szCs w:val="21"/>
              </w:rPr>
            </w:pPr>
            <w:r>
              <w:rPr>
                <w:rFonts w:ascii="ＭＳ ゴシック" w:eastAsia="ＭＳ ゴシック" w:hAnsi="ＭＳ ゴシック"/>
                <w:szCs w:val="21"/>
              </w:rPr>
              <w:t>LP</w:t>
            </w:r>
            <w:r w:rsidRPr="002C09F4">
              <w:rPr>
                <w:rFonts w:ascii="ＭＳ ゴシック" w:eastAsia="ＭＳ ゴシック" w:hAnsi="ＭＳ ゴシック" w:hint="eastAsia"/>
                <w:szCs w:val="21"/>
              </w:rPr>
              <w:t>G</w:t>
            </w:r>
            <w:r>
              <w:rPr>
                <w:rFonts w:ascii="ＭＳ ゴシック" w:eastAsia="ＭＳ ゴシック" w:hAnsi="ＭＳ ゴシック" w:hint="eastAsia"/>
                <w:szCs w:val="21"/>
              </w:rPr>
              <w:t>消費設備の基準確認</w:t>
            </w:r>
          </w:p>
        </w:tc>
        <w:tc>
          <w:tcPr>
            <w:tcW w:w="4871" w:type="dxa"/>
          </w:tcPr>
          <w:p w:rsidR="00AF1A08" w:rsidRPr="002C09F4" w:rsidRDefault="00AF1A08" w:rsidP="00593EA0">
            <w:pPr>
              <w:ind w:firstLineChars="100" w:firstLine="210"/>
              <w:rPr>
                <w:rFonts w:ascii="ＭＳ ゴシック" w:eastAsia="ＭＳ ゴシック" w:hAnsi="ＭＳ ゴシック" w:hint="eastAsia"/>
                <w:szCs w:val="21"/>
              </w:rPr>
            </w:pPr>
            <w:r w:rsidRPr="00DE04E4">
              <w:rPr>
                <w:rFonts w:ascii="ＭＳ ゴシック" w:eastAsia="ＭＳ ゴシック" w:hAnsi="ＭＳ ゴシック" w:hint="eastAsia"/>
                <w:szCs w:val="21"/>
              </w:rPr>
              <w:t>液化石油ガスを燃料（工業用燃料を除く。以下この条において同じ。）の用に供する消費者に液化石油ガスを販売するときは、当該販売に係る液化石油ガスの消費設備について、次に掲げる基準に適合していることを確認した後にすること。</w:t>
            </w:r>
          </w:p>
        </w:tc>
        <w:tc>
          <w:tcPr>
            <w:tcW w:w="1773" w:type="dxa"/>
          </w:tcPr>
          <w:p w:rsidR="00AF1A08" w:rsidRPr="002C09F4" w:rsidRDefault="00AF1A08" w:rsidP="00593EA0">
            <w:pPr>
              <w:ind w:rightChars="-47" w:right="-99"/>
              <w:rPr>
                <w:rFonts w:ascii="ＭＳ ゴシック" w:eastAsia="ＭＳ ゴシック" w:hAnsi="ＭＳ ゴシック" w:hint="eastAsia"/>
                <w:szCs w:val="21"/>
              </w:rPr>
            </w:pPr>
          </w:p>
        </w:tc>
      </w:tr>
      <w:tr w:rsidR="00AF1A08" w:rsidRPr="002C09F4" w:rsidTr="00593EA0">
        <w:tblPrEx>
          <w:tblCellMar>
            <w:top w:w="0" w:type="dxa"/>
            <w:bottom w:w="0" w:type="dxa"/>
          </w:tblCellMar>
        </w:tblPrEx>
        <w:trPr>
          <w:cantSplit/>
        </w:trPr>
        <w:tc>
          <w:tcPr>
            <w:tcW w:w="1077" w:type="dxa"/>
            <w:tcBorders>
              <w:top w:val="nil"/>
              <w:bottom w:val="nil"/>
            </w:tcBorders>
          </w:tcPr>
          <w:p w:rsidR="00AF1A08" w:rsidRPr="002C09F4" w:rsidRDefault="00AF1A08" w:rsidP="00593EA0">
            <w:pPr>
              <w:wordWrap w:val="0"/>
              <w:ind w:right="420"/>
              <w:jc w:val="right"/>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イ</w:t>
            </w:r>
          </w:p>
        </w:tc>
        <w:tc>
          <w:tcPr>
            <w:tcW w:w="1999" w:type="dxa"/>
            <w:vMerge/>
          </w:tcPr>
          <w:p w:rsidR="00AF1A08" w:rsidRPr="002C09F4" w:rsidRDefault="00AF1A08" w:rsidP="00593EA0">
            <w:pPr>
              <w:rPr>
                <w:rFonts w:ascii="ＭＳ ゴシック" w:eastAsia="ＭＳ ゴシック" w:hAnsi="ＭＳ ゴシック" w:hint="eastAsia"/>
                <w:szCs w:val="21"/>
              </w:rPr>
            </w:pPr>
          </w:p>
        </w:tc>
        <w:tc>
          <w:tcPr>
            <w:tcW w:w="4871" w:type="dxa"/>
          </w:tcPr>
          <w:p w:rsidR="00AF1A08" w:rsidRPr="002C09F4" w:rsidRDefault="00AF1A08" w:rsidP="00593EA0">
            <w:pPr>
              <w:ind w:firstLineChars="100" w:firstLine="210"/>
              <w:rPr>
                <w:rFonts w:ascii="ＭＳ ゴシック" w:eastAsia="ＭＳ ゴシック" w:hAnsi="ＭＳ ゴシック" w:hint="eastAsia"/>
                <w:szCs w:val="21"/>
              </w:rPr>
            </w:pPr>
            <w:r w:rsidRPr="00DE04E4">
              <w:rPr>
                <w:rFonts w:ascii="ＭＳ ゴシック" w:eastAsia="ＭＳ ゴシック" w:hAnsi="ＭＳ ゴシック" w:hint="eastAsia"/>
                <w:szCs w:val="21"/>
              </w:rPr>
              <w:t>充填容器等（内容積が二十リットル以上のものに限る。以下この号において同じ。）には、当該容器を置く位置から二メートル以内にある火気をさえぎる措置を講じ、かつ、屋外に置くこと。ただし、屋外に置くことが著しく困難な場合（告示で定める場合に限る。）において、充填容器等及びこれらの附属品から漏れた液化石油ガスが屋内に滞留しないような措置を講じ、かつ、漏えいした液化石油ガスが火気に触れないような措置を講じたときは、屋内に置くことができる。</w:t>
            </w:r>
          </w:p>
        </w:tc>
        <w:tc>
          <w:tcPr>
            <w:tcW w:w="1773" w:type="dxa"/>
          </w:tcPr>
          <w:p w:rsidR="00AF1A08" w:rsidRPr="002C09F4" w:rsidRDefault="00AF1A08" w:rsidP="00593EA0">
            <w:pPr>
              <w:ind w:leftChars="-60" w:left="-126" w:rightChars="-47" w:right="-99"/>
              <w:rPr>
                <w:rFonts w:ascii="ＭＳ ゴシック" w:eastAsia="ＭＳ ゴシック" w:hAnsi="ＭＳ ゴシック" w:hint="eastAsia"/>
                <w:szCs w:val="21"/>
              </w:rPr>
            </w:pPr>
          </w:p>
        </w:tc>
      </w:tr>
      <w:tr w:rsidR="00AF1A08" w:rsidRPr="002C09F4" w:rsidTr="00593EA0">
        <w:tblPrEx>
          <w:tblCellMar>
            <w:top w:w="0" w:type="dxa"/>
            <w:bottom w:w="0" w:type="dxa"/>
          </w:tblCellMar>
        </w:tblPrEx>
        <w:trPr>
          <w:cantSplit/>
        </w:trPr>
        <w:tc>
          <w:tcPr>
            <w:tcW w:w="1077" w:type="dxa"/>
            <w:tcBorders>
              <w:top w:val="nil"/>
              <w:bottom w:val="nil"/>
            </w:tcBorders>
          </w:tcPr>
          <w:p w:rsidR="00AF1A08" w:rsidRPr="002C09F4" w:rsidRDefault="00AF1A08" w:rsidP="00593EA0">
            <w:pPr>
              <w:ind w:right="420"/>
              <w:jc w:val="right"/>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ロ</w:t>
            </w:r>
          </w:p>
        </w:tc>
        <w:tc>
          <w:tcPr>
            <w:tcW w:w="1999" w:type="dxa"/>
            <w:vMerge/>
          </w:tcPr>
          <w:p w:rsidR="00AF1A08" w:rsidRPr="002C09F4" w:rsidRDefault="00AF1A08" w:rsidP="00593EA0">
            <w:pPr>
              <w:rPr>
                <w:rFonts w:ascii="ＭＳ ゴシック" w:eastAsia="ＭＳ ゴシック" w:hAnsi="ＭＳ ゴシック" w:hint="eastAsia"/>
                <w:szCs w:val="21"/>
              </w:rPr>
            </w:pPr>
          </w:p>
        </w:tc>
        <w:tc>
          <w:tcPr>
            <w:tcW w:w="4871" w:type="dxa"/>
          </w:tcPr>
          <w:p w:rsidR="00AF1A08" w:rsidRPr="002C09F4" w:rsidRDefault="00AF1A08" w:rsidP="00593EA0">
            <w:pPr>
              <w:ind w:firstLineChars="100" w:firstLine="210"/>
              <w:rPr>
                <w:rFonts w:ascii="ＭＳ ゴシック" w:eastAsia="ＭＳ ゴシック" w:hAnsi="ＭＳ ゴシック" w:hint="eastAsia"/>
                <w:szCs w:val="21"/>
              </w:rPr>
            </w:pPr>
            <w:r w:rsidRPr="00DE04E4">
              <w:rPr>
                <w:rFonts w:ascii="ＭＳ ゴシック" w:eastAsia="ＭＳ ゴシック" w:hAnsi="ＭＳ ゴシック" w:hint="eastAsia"/>
                <w:szCs w:val="21"/>
              </w:rPr>
              <w:t>充填容器等（当該容器に取り付けたスカートを含む。）には、湿気、水滴等による腐食を防止する措置を講ずること。</w:t>
            </w:r>
          </w:p>
        </w:tc>
        <w:tc>
          <w:tcPr>
            <w:tcW w:w="1773" w:type="dxa"/>
          </w:tcPr>
          <w:p w:rsidR="00AF1A08" w:rsidRPr="002C09F4" w:rsidRDefault="00AF1A08" w:rsidP="00593EA0">
            <w:pPr>
              <w:ind w:leftChars="-60" w:left="-126" w:rightChars="-47" w:right="-99"/>
              <w:rPr>
                <w:rFonts w:ascii="ＭＳ ゴシック" w:eastAsia="ＭＳ ゴシック" w:hAnsi="ＭＳ ゴシック" w:hint="eastAsia"/>
                <w:szCs w:val="21"/>
              </w:rPr>
            </w:pPr>
          </w:p>
        </w:tc>
      </w:tr>
      <w:tr w:rsidR="00AF1A08" w:rsidRPr="002C09F4" w:rsidTr="00593EA0">
        <w:tblPrEx>
          <w:tblCellMar>
            <w:top w:w="0" w:type="dxa"/>
            <w:bottom w:w="0" w:type="dxa"/>
          </w:tblCellMar>
        </w:tblPrEx>
        <w:trPr>
          <w:cantSplit/>
        </w:trPr>
        <w:tc>
          <w:tcPr>
            <w:tcW w:w="1077" w:type="dxa"/>
            <w:tcBorders>
              <w:top w:val="nil"/>
              <w:bottom w:val="nil"/>
            </w:tcBorders>
          </w:tcPr>
          <w:p w:rsidR="00AF1A08" w:rsidRPr="002C09F4" w:rsidRDefault="00AF1A08" w:rsidP="00593EA0">
            <w:pPr>
              <w:ind w:right="420"/>
              <w:jc w:val="right"/>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ハ</w:t>
            </w:r>
          </w:p>
        </w:tc>
        <w:tc>
          <w:tcPr>
            <w:tcW w:w="1999" w:type="dxa"/>
            <w:vMerge/>
          </w:tcPr>
          <w:p w:rsidR="00AF1A08" w:rsidRPr="002C09F4" w:rsidRDefault="00AF1A08" w:rsidP="00593EA0">
            <w:pPr>
              <w:rPr>
                <w:rFonts w:ascii="ＭＳ ゴシック" w:eastAsia="ＭＳ ゴシック" w:hAnsi="ＭＳ ゴシック" w:hint="eastAsia"/>
                <w:szCs w:val="21"/>
              </w:rPr>
            </w:pPr>
          </w:p>
        </w:tc>
        <w:tc>
          <w:tcPr>
            <w:tcW w:w="4871" w:type="dxa"/>
          </w:tcPr>
          <w:p w:rsidR="00AF1A08" w:rsidRPr="002C09F4" w:rsidRDefault="00AF1A08" w:rsidP="00593EA0">
            <w:pPr>
              <w:ind w:firstLineChars="100" w:firstLine="210"/>
              <w:rPr>
                <w:rFonts w:ascii="ＭＳ ゴシック" w:eastAsia="ＭＳ ゴシック" w:hAnsi="ＭＳ ゴシック" w:hint="eastAsia"/>
                <w:szCs w:val="21"/>
              </w:rPr>
            </w:pPr>
            <w:r w:rsidRPr="00DE04E4">
              <w:rPr>
                <w:rFonts w:ascii="ＭＳ ゴシック" w:eastAsia="ＭＳ ゴシック" w:hAnsi="ＭＳ ゴシック" w:hint="eastAsia"/>
                <w:szCs w:val="21"/>
              </w:rPr>
              <w:t>充填容器等は、常に温度四十度以下に保つこと。</w:t>
            </w:r>
          </w:p>
        </w:tc>
        <w:tc>
          <w:tcPr>
            <w:tcW w:w="1773" w:type="dxa"/>
          </w:tcPr>
          <w:p w:rsidR="00AF1A08" w:rsidRPr="002C09F4" w:rsidRDefault="00AF1A08" w:rsidP="00593EA0">
            <w:pPr>
              <w:ind w:leftChars="-60" w:left="-126" w:rightChars="-47" w:right="-99"/>
              <w:rPr>
                <w:rFonts w:ascii="ＭＳ ゴシック" w:eastAsia="ＭＳ ゴシック" w:hAnsi="ＭＳ ゴシック" w:hint="eastAsia"/>
                <w:szCs w:val="21"/>
              </w:rPr>
            </w:pPr>
          </w:p>
        </w:tc>
      </w:tr>
      <w:tr w:rsidR="00AF1A08" w:rsidRPr="002C09F4" w:rsidTr="00593EA0">
        <w:tblPrEx>
          <w:tblCellMar>
            <w:top w:w="0" w:type="dxa"/>
            <w:bottom w:w="0" w:type="dxa"/>
          </w:tblCellMar>
        </w:tblPrEx>
        <w:trPr>
          <w:cantSplit/>
        </w:trPr>
        <w:tc>
          <w:tcPr>
            <w:tcW w:w="1077" w:type="dxa"/>
            <w:tcBorders>
              <w:top w:val="nil"/>
              <w:bottom w:val="nil"/>
            </w:tcBorders>
          </w:tcPr>
          <w:p w:rsidR="00AF1A08" w:rsidRPr="002C09F4" w:rsidRDefault="00AF1A08" w:rsidP="00593EA0">
            <w:pPr>
              <w:ind w:right="420"/>
              <w:jc w:val="right"/>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ニ</w:t>
            </w:r>
          </w:p>
        </w:tc>
        <w:tc>
          <w:tcPr>
            <w:tcW w:w="1999" w:type="dxa"/>
            <w:vMerge/>
          </w:tcPr>
          <w:p w:rsidR="00AF1A08" w:rsidRPr="002C09F4" w:rsidRDefault="00AF1A08" w:rsidP="00593EA0">
            <w:pPr>
              <w:rPr>
                <w:rFonts w:ascii="ＭＳ ゴシック" w:eastAsia="ＭＳ ゴシック" w:hAnsi="ＭＳ ゴシック" w:hint="eastAsia"/>
                <w:szCs w:val="21"/>
              </w:rPr>
            </w:pPr>
          </w:p>
        </w:tc>
        <w:tc>
          <w:tcPr>
            <w:tcW w:w="4871" w:type="dxa"/>
          </w:tcPr>
          <w:p w:rsidR="00AF1A08" w:rsidRPr="002C09F4" w:rsidRDefault="00AF1A08" w:rsidP="00593EA0">
            <w:pPr>
              <w:ind w:firstLineChars="100" w:firstLine="210"/>
              <w:rPr>
                <w:rFonts w:ascii="ＭＳ ゴシック" w:eastAsia="ＭＳ ゴシック" w:hAnsi="ＭＳ ゴシック" w:hint="eastAsia"/>
                <w:szCs w:val="21"/>
              </w:rPr>
            </w:pPr>
            <w:r w:rsidRPr="00DE04E4">
              <w:rPr>
                <w:rFonts w:ascii="ＭＳ ゴシック" w:eastAsia="ＭＳ ゴシック" w:hAnsi="ＭＳ ゴシック" w:hint="eastAsia"/>
                <w:szCs w:val="21"/>
              </w:rPr>
              <w:t>充填容器等（内容積が五リットル以下のものを除く。）には、転落、転倒等による衝撃を防止する措置を講ずること。</w:t>
            </w:r>
          </w:p>
        </w:tc>
        <w:tc>
          <w:tcPr>
            <w:tcW w:w="1773" w:type="dxa"/>
          </w:tcPr>
          <w:p w:rsidR="00AF1A08" w:rsidRPr="002C09F4" w:rsidRDefault="00AF1A08" w:rsidP="00593EA0">
            <w:pPr>
              <w:ind w:leftChars="-60" w:left="-126" w:rightChars="-47" w:right="-99"/>
              <w:rPr>
                <w:rFonts w:ascii="ＭＳ ゴシック" w:eastAsia="ＭＳ ゴシック" w:hAnsi="ＭＳ ゴシック" w:hint="eastAsia"/>
                <w:szCs w:val="21"/>
              </w:rPr>
            </w:pPr>
          </w:p>
        </w:tc>
      </w:tr>
      <w:tr w:rsidR="00AF1A08" w:rsidRPr="002C09F4" w:rsidTr="00593EA0">
        <w:tblPrEx>
          <w:tblCellMar>
            <w:top w:w="0" w:type="dxa"/>
            <w:bottom w:w="0" w:type="dxa"/>
          </w:tblCellMar>
        </w:tblPrEx>
        <w:trPr>
          <w:cantSplit/>
        </w:trPr>
        <w:tc>
          <w:tcPr>
            <w:tcW w:w="1077" w:type="dxa"/>
            <w:tcBorders>
              <w:top w:val="nil"/>
              <w:bottom w:val="nil"/>
            </w:tcBorders>
          </w:tcPr>
          <w:p w:rsidR="00AF1A08" w:rsidRPr="002C09F4" w:rsidRDefault="00AF1A08" w:rsidP="00593EA0">
            <w:pPr>
              <w:ind w:right="420"/>
              <w:jc w:val="right"/>
              <w:rPr>
                <w:rFonts w:ascii="ＭＳ ゴシック" w:eastAsia="ＭＳ ゴシック" w:hAnsi="ＭＳ ゴシック" w:hint="eastAsia"/>
                <w:szCs w:val="21"/>
              </w:rPr>
            </w:pPr>
            <w:r w:rsidRPr="002C09F4">
              <w:rPr>
                <w:rFonts w:ascii="ＭＳ ゴシック" w:eastAsia="ＭＳ ゴシック" w:hAnsi="ＭＳ ゴシック" w:hint="eastAsia"/>
                <w:szCs w:val="21"/>
              </w:rPr>
              <w:lastRenderedPageBreak/>
              <w:t>ホ</w:t>
            </w:r>
          </w:p>
        </w:tc>
        <w:tc>
          <w:tcPr>
            <w:tcW w:w="1999" w:type="dxa"/>
            <w:vMerge/>
          </w:tcPr>
          <w:p w:rsidR="00AF1A08" w:rsidRPr="002C09F4" w:rsidRDefault="00AF1A08" w:rsidP="00593EA0">
            <w:pPr>
              <w:rPr>
                <w:rFonts w:ascii="ＭＳ ゴシック" w:eastAsia="ＭＳ ゴシック" w:hAnsi="ＭＳ ゴシック" w:hint="eastAsia"/>
                <w:szCs w:val="21"/>
              </w:rPr>
            </w:pPr>
          </w:p>
        </w:tc>
        <w:tc>
          <w:tcPr>
            <w:tcW w:w="4871" w:type="dxa"/>
          </w:tcPr>
          <w:p w:rsidR="00AF1A08" w:rsidRPr="002C09F4" w:rsidRDefault="00AF1A08" w:rsidP="00593EA0">
            <w:pPr>
              <w:ind w:firstLineChars="100" w:firstLine="210"/>
              <w:rPr>
                <w:rFonts w:ascii="ＭＳ ゴシック" w:eastAsia="ＭＳ ゴシック" w:hAnsi="ＭＳ ゴシック" w:hint="eastAsia"/>
                <w:szCs w:val="21"/>
              </w:rPr>
            </w:pPr>
            <w:r w:rsidRPr="00DE04E4">
              <w:rPr>
                <w:rFonts w:ascii="ＭＳ ゴシック" w:eastAsia="ＭＳ ゴシック" w:hAnsi="ＭＳ ゴシック" w:hint="eastAsia"/>
                <w:szCs w:val="21"/>
              </w:rPr>
              <w:t>充填容器等と閉止弁との間には、高圧側の耐圧性能及び気密性能が二・六メガパスカル以上の圧力で行う耐圧試験及び一・六メガパスカル以上の圧力で行う気密試験に合格する調整器を設けること。</w:t>
            </w:r>
          </w:p>
        </w:tc>
        <w:tc>
          <w:tcPr>
            <w:tcW w:w="1773" w:type="dxa"/>
          </w:tcPr>
          <w:p w:rsidR="00AF1A08" w:rsidRPr="002C09F4" w:rsidRDefault="00AF1A08" w:rsidP="00593EA0">
            <w:pPr>
              <w:ind w:leftChars="-60" w:left="-126" w:rightChars="-47" w:right="-99"/>
              <w:rPr>
                <w:rFonts w:ascii="ＭＳ ゴシック" w:eastAsia="ＭＳ ゴシック" w:hAnsi="ＭＳ ゴシック" w:hint="eastAsia"/>
                <w:szCs w:val="21"/>
              </w:rPr>
            </w:pPr>
          </w:p>
        </w:tc>
      </w:tr>
      <w:tr w:rsidR="00AF1A08" w:rsidRPr="002C09F4" w:rsidTr="00593EA0">
        <w:tblPrEx>
          <w:tblCellMar>
            <w:top w:w="0" w:type="dxa"/>
            <w:bottom w:w="0" w:type="dxa"/>
          </w:tblCellMar>
        </w:tblPrEx>
        <w:trPr>
          <w:cantSplit/>
        </w:trPr>
        <w:tc>
          <w:tcPr>
            <w:tcW w:w="1077" w:type="dxa"/>
            <w:tcBorders>
              <w:top w:val="nil"/>
              <w:bottom w:val="nil"/>
            </w:tcBorders>
          </w:tcPr>
          <w:p w:rsidR="00AF1A08" w:rsidRPr="002C09F4" w:rsidRDefault="00AF1A08" w:rsidP="00593EA0">
            <w:pPr>
              <w:ind w:right="420"/>
              <w:jc w:val="right"/>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ヘ</w:t>
            </w:r>
          </w:p>
        </w:tc>
        <w:tc>
          <w:tcPr>
            <w:tcW w:w="1999" w:type="dxa"/>
            <w:vMerge/>
          </w:tcPr>
          <w:p w:rsidR="00AF1A08" w:rsidRPr="002C09F4" w:rsidRDefault="00AF1A08" w:rsidP="00593EA0">
            <w:pPr>
              <w:rPr>
                <w:rFonts w:ascii="ＭＳ ゴシック" w:eastAsia="ＭＳ ゴシック" w:hAnsi="ＭＳ ゴシック" w:hint="eastAsia"/>
                <w:szCs w:val="21"/>
              </w:rPr>
            </w:pPr>
          </w:p>
        </w:tc>
        <w:tc>
          <w:tcPr>
            <w:tcW w:w="4871" w:type="dxa"/>
          </w:tcPr>
          <w:p w:rsidR="00AF1A08" w:rsidRPr="002C09F4" w:rsidRDefault="00AF1A08" w:rsidP="00593EA0">
            <w:pPr>
              <w:ind w:firstLineChars="100" w:firstLine="210"/>
              <w:rPr>
                <w:rFonts w:ascii="ＭＳ ゴシック" w:eastAsia="ＭＳ ゴシック" w:hAnsi="ＭＳ ゴシック" w:hint="eastAsia"/>
                <w:szCs w:val="21"/>
              </w:rPr>
            </w:pPr>
            <w:r w:rsidRPr="00DE04E4">
              <w:rPr>
                <w:rFonts w:ascii="ＭＳ ゴシック" w:eastAsia="ＭＳ ゴシック" w:hAnsi="ＭＳ ゴシック" w:hint="eastAsia"/>
                <w:szCs w:val="21"/>
              </w:rPr>
              <w:t>配管には、充填容器等と調整器との間の部分にあつては二・六メガパスカル以上の圧力、調整器と閉止弁との間の部分にあつては〇・八メガパスカル（調整器に接続する長さ〇・三メートル（屋外に設置した風呂がまに用いるものにあつては、二メートル）未満のものにあつては、〇・二メガパスカル）以上の圧力で行う耐圧試験又は経済産業大臣がこれらと同等以上のものと認める試験（試験方法、試験設備、試験員等の状況により試験を行うことが適切であると経済産業大臣が認める者の行うものに限る。）に合格する管を使用すること。</w:t>
            </w:r>
          </w:p>
        </w:tc>
        <w:tc>
          <w:tcPr>
            <w:tcW w:w="1773" w:type="dxa"/>
          </w:tcPr>
          <w:p w:rsidR="00AF1A08" w:rsidRPr="002C09F4" w:rsidRDefault="00AF1A08" w:rsidP="00593EA0">
            <w:pPr>
              <w:ind w:leftChars="-60" w:left="-126" w:rightChars="-47" w:right="-99"/>
              <w:rPr>
                <w:rFonts w:ascii="ＭＳ ゴシック" w:eastAsia="ＭＳ ゴシック" w:hAnsi="ＭＳ ゴシック" w:hint="eastAsia"/>
                <w:szCs w:val="21"/>
              </w:rPr>
            </w:pPr>
          </w:p>
        </w:tc>
      </w:tr>
      <w:tr w:rsidR="00AF1A08" w:rsidRPr="002C09F4" w:rsidTr="00593EA0">
        <w:tblPrEx>
          <w:tblCellMar>
            <w:top w:w="0" w:type="dxa"/>
            <w:bottom w:w="0" w:type="dxa"/>
          </w:tblCellMar>
        </w:tblPrEx>
        <w:trPr>
          <w:cantSplit/>
        </w:trPr>
        <w:tc>
          <w:tcPr>
            <w:tcW w:w="1077" w:type="dxa"/>
            <w:tcBorders>
              <w:top w:val="nil"/>
              <w:bottom w:val="nil"/>
            </w:tcBorders>
          </w:tcPr>
          <w:p w:rsidR="00AF1A08" w:rsidRPr="002C09F4" w:rsidRDefault="00AF1A08" w:rsidP="00593EA0">
            <w:pPr>
              <w:ind w:right="420"/>
              <w:jc w:val="right"/>
              <w:rPr>
                <w:rFonts w:ascii="ＭＳ ゴシック" w:eastAsia="ＭＳ ゴシック" w:hAnsi="ＭＳ ゴシック" w:hint="eastAsia"/>
                <w:szCs w:val="21"/>
              </w:rPr>
            </w:pPr>
            <w:r w:rsidRPr="002C09F4">
              <w:rPr>
                <w:rFonts w:ascii="ＭＳ ゴシック" w:eastAsia="ＭＳ ゴシック" w:hAnsi="ＭＳ ゴシック" w:hint="eastAsia"/>
                <w:szCs w:val="21"/>
              </w:rPr>
              <w:t>ト</w:t>
            </w:r>
          </w:p>
        </w:tc>
        <w:tc>
          <w:tcPr>
            <w:tcW w:w="1999" w:type="dxa"/>
            <w:vMerge/>
          </w:tcPr>
          <w:p w:rsidR="00AF1A08" w:rsidRPr="002C09F4" w:rsidRDefault="00AF1A08" w:rsidP="00593EA0">
            <w:pPr>
              <w:rPr>
                <w:rFonts w:ascii="ＭＳ ゴシック" w:eastAsia="ＭＳ ゴシック" w:hAnsi="ＭＳ ゴシック" w:hint="eastAsia"/>
                <w:szCs w:val="21"/>
              </w:rPr>
            </w:pPr>
          </w:p>
        </w:tc>
        <w:tc>
          <w:tcPr>
            <w:tcW w:w="4871" w:type="dxa"/>
          </w:tcPr>
          <w:p w:rsidR="00AF1A08" w:rsidRPr="002C09F4" w:rsidRDefault="00AF1A08" w:rsidP="00593EA0">
            <w:pPr>
              <w:ind w:firstLineChars="100" w:firstLine="210"/>
              <w:rPr>
                <w:rFonts w:ascii="ＭＳ ゴシック" w:eastAsia="ＭＳ ゴシック" w:hAnsi="ＭＳ ゴシック" w:hint="eastAsia"/>
                <w:szCs w:val="21"/>
              </w:rPr>
            </w:pPr>
            <w:r w:rsidRPr="00DE04E4">
              <w:rPr>
                <w:rFonts w:ascii="ＭＳ ゴシック" w:eastAsia="ＭＳ ゴシック" w:hAnsi="ＭＳ ゴシック" w:hint="eastAsia"/>
                <w:szCs w:val="21"/>
              </w:rPr>
              <w:t>硬質管以外の管と硬質管又は調整器とを接続するときは、その部分をホースバンドで締め付けること又は継手を用いることにより確実に行うこと。</w:t>
            </w:r>
          </w:p>
        </w:tc>
        <w:tc>
          <w:tcPr>
            <w:tcW w:w="1773" w:type="dxa"/>
          </w:tcPr>
          <w:p w:rsidR="00AF1A08" w:rsidRPr="002C09F4" w:rsidRDefault="00AF1A08" w:rsidP="00593EA0">
            <w:pPr>
              <w:ind w:leftChars="-60" w:left="-126" w:rightChars="-47" w:right="-99"/>
              <w:rPr>
                <w:rFonts w:ascii="ＭＳ ゴシック" w:eastAsia="ＭＳ ゴシック" w:hAnsi="ＭＳ ゴシック" w:hint="eastAsia"/>
                <w:szCs w:val="21"/>
              </w:rPr>
            </w:pPr>
          </w:p>
        </w:tc>
      </w:tr>
      <w:tr w:rsidR="00AF1A08" w:rsidRPr="002C09F4" w:rsidTr="00593EA0">
        <w:tblPrEx>
          <w:tblCellMar>
            <w:top w:w="0" w:type="dxa"/>
            <w:bottom w:w="0" w:type="dxa"/>
          </w:tblCellMar>
        </w:tblPrEx>
        <w:trPr>
          <w:cantSplit/>
        </w:trPr>
        <w:tc>
          <w:tcPr>
            <w:tcW w:w="1077" w:type="dxa"/>
          </w:tcPr>
          <w:p w:rsidR="00AF1A08" w:rsidRPr="002C09F4" w:rsidRDefault="00AF1A08" w:rsidP="00593EA0">
            <w:pPr>
              <w:rPr>
                <w:rFonts w:ascii="ＭＳ ゴシック" w:eastAsia="ＭＳ ゴシック" w:hAnsi="ＭＳ ゴシック" w:hint="eastAsia"/>
                <w:szCs w:val="21"/>
              </w:rPr>
            </w:pPr>
            <w:r>
              <w:rPr>
                <w:rFonts w:ascii="ＭＳ ゴシック" w:eastAsia="ＭＳ ゴシック" w:hAnsi="ＭＳ ゴシック" w:hint="eastAsia"/>
                <w:szCs w:val="21"/>
              </w:rPr>
              <w:t>５</w:t>
            </w:r>
            <w:r w:rsidRPr="002C09F4">
              <w:rPr>
                <w:rFonts w:ascii="ＭＳ ゴシック" w:eastAsia="ＭＳ ゴシック" w:hAnsi="ＭＳ ゴシック" w:hint="eastAsia"/>
                <w:szCs w:val="21"/>
              </w:rPr>
              <w:t>号</w:t>
            </w:r>
          </w:p>
        </w:tc>
        <w:tc>
          <w:tcPr>
            <w:tcW w:w="1999" w:type="dxa"/>
          </w:tcPr>
          <w:p w:rsidR="00AF1A08" w:rsidRPr="002C09F4" w:rsidRDefault="00AF1A08" w:rsidP="00593EA0">
            <w:pPr>
              <w:rPr>
                <w:rFonts w:ascii="ＭＳ ゴシック" w:eastAsia="ＭＳ ゴシック" w:hAnsi="ＭＳ ゴシック" w:hint="eastAsia"/>
                <w:szCs w:val="21"/>
              </w:rPr>
            </w:pPr>
            <w:r>
              <w:rPr>
                <w:rFonts w:ascii="ＭＳ ゴシック" w:eastAsia="ＭＳ ゴシック" w:hAnsi="ＭＳ ゴシック" w:hint="eastAsia"/>
                <w:szCs w:val="21"/>
              </w:rPr>
              <w:t>配管の気密試験</w:t>
            </w:r>
          </w:p>
        </w:tc>
        <w:tc>
          <w:tcPr>
            <w:tcW w:w="4871" w:type="dxa"/>
          </w:tcPr>
          <w:p w:rsidR="00AF1A08" w:rsidRPr="002C09F4" w:rsidRDefault="00AF1A08" w:rsidP="00593EA0">
            <w:pPr>
              <w:ind w:firstLineChars="100" w:firstLine="210"/>
              <w:rPr>
                <w:rFonts w:ascii="ＭＳ ゴシック" w:eastAsia="ＭＳ ゴシック" w:hAnsi="ＭＳ ゴシック" w:hint="eastAsia"/>
                <w:szCs w:val="21"/>
              </w:rPr>
            </w:pPr>
            <w:r w:rsidRPr="00DE04E4">
              <w:rPr>
                <w:rFonts w:ascii="ＭＳ ゴシック" w:eastAsia="ＭＳ ゴシック" w:hAnsi="ＭＳ ゴシック" w:hint="eastAsia"/>
                <w:szCs w:val="21"/>
              </w:rPr>
              <w:t>液化石油ガスを燃料の用に供する消費者に当該ガスを販売する者にあつては、配管の気密試験のための器具又は設備を備えること。</w:t>
            </w:r>
          </w:p>
        </w:tc>
        <w:tc>
          <w:tcPr>
            <w:tcW w:w="1773" w:type="dxa"/>
          </w:tcPr>
          <w:p w:rsidR="00AF1A08" w:rsidRPr="002C09F4" w:rsidRDefault="00AF1A08" w:rsidP="00593EA0">
            <w:pPr>
              <w:ind w:leftChars="-60" w:left="-126" w:rightChars="-47" w:right="-99"/>
              <w:rPr>
                <w:rFonts w:ascii="ＭＳ ゴシック" w:eastAsia="ＭＳ ゴシック" w:hAnsi="ＭＳ ゴシック" w:hint="eastAsia"/>
                <w:szCs w:val="21"/>
              </w:rPr>
            </w:pPr>
          </w:p>
        </w:tc>
      </w:tr>
    </w:tbl>
    <w:p w:rsidR="00AF1A08" w:rsidRDefault="00AF1A08" w:rsidP="00AF1A08">
      <w:pPr>
        <w:ind w:leftChars="-171" w:left="-359" w:rightChars="-85" w:right="-178"/>
        <w:jc w:val="center"/>
        <w:rPr>
          <w:rFonts w:ascii="ＭＳ ゴシック" w:eastAsia="ＭＳ ゴシック" w:hAnsi="ＭＳ ゴシック"/>
          <w:sz w:val="24"/>
        </w:rPr>
      </w:pPr>
    </w:p>
    <w:p w:rsidR="00884FBD" w:rsidRPr="00AF1A08" w:rsidRDefault="00884FBD"/>
    <w:sectPr w:rsidR="00884FBD" w:rsidRPr="00AF1A08" w:rsidSect="007E7701">
      <w:footerReference w:type="even" r:id="rId6"/>
      <w:footerReference w:type="default" r:id="rId7"/>
      <w:pgSz w:w="11906" w:h="16838"/>
      <w:pgMar w:top="720" w:right="1286" w:bottom="900" w:left="1260" w:header="851" w:footer="992" w:gutter="0"/>
      <w:pgNumType w:start="1"/>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F1A08" w:rsidRDefault="00AF1A08" w:rsidP="00C26180">
      <w:r>
        <w:separator/>
      </w:r>
    </w:p>
  </w:endnote>
  <w:endnote w:type="continuationSeparator" w:id="0">
    <w:p w:rsidR="00AF1A08" w:rsidRDefault="00AF1A08" w:rsidP="00C261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embedRegular r:id="rId1" w:fontKey="{F5D2412E-292D-41CD-BA86-27EADA885851}"/>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embedRegular r:id="rId2" w:fontKey="{E2630B90-D8C8-4B7A-B5DB-F260774AA6A6}"/>
  </w:font>
  <w:font w:name="ＭＳ ゴシック">
    <w:altName w:val="MS Gothic"/>
    <w:panose1 w:val="020B0609070205080204"/>
    <w:charset w:val="80"/>
    <w:family w:val="modern"/>
    <w:pitch w:val="fixed"/>
    <w:sig w:usb0="E00002FF" w:usb1="6AC7FDFB" w:usb2="08000012" w:usb3="00000000" w:csb0="0002009F" w:csb1="00000000"/>
    <w:embedRegular r:id="rId3" w:subsetted="1" w:fontKey="{B7E7DBB4-8B0A-4A2A-AB1B-08BE9A1FA022}"/>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embedRegular r:id="rId4" w:fontKey="{AF253ACE-67D0-476D-A186-89063AC7979A}"/>
  </w:font>
  <w:font w:name="ＭＳ Ｐ明朝">
    <w:panose1 w:val="02020600040205080304"/>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1528" w:rsidRDefault="00AF1A08">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end"/>
    </w:r>
  </w:p>
  <w:p w:rsidR="001B1528" w:rsidRDefault="00AF1A08">
    <w:pPr>
      <w:pStyle w:val="a5"/>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B1528" w:rsidRDefault="00AF1A08">
    <w:pPr>
      <w:pStyle w:val="a5"/>
      <w:framePr w:wrap="around" w:vAnchor="text" w:hAnchor="margin" w:xAlign="center" w:y="1"/>
      <w:rPr>
        <w:rStyle w:val="a7"/>
      </w:rPr>
    </w:pPr>
    <w:r>
      <w:rPr>
        <w:rStyle w:val="a7"/>
      </w:rPr>
      <w:fldChar w:fldCharType="begin"/>
    </w:r>
    <w:r>
      <w:rPr>
        <w:rStyle w:val="a7"/>
      </w:rPr>
      <w:instrText xml:space="preserve">PAGE  </w:instrText>
    </w:r>
    <w:r>
      <w:rPr>
        <w:rStyle w:val="a7"/>
      </w:rPr>
      <w:fldChar w:fldCharType="separate"/>
    </w:r>
    <w:r>
      <w:rPr>
        <w:rStyle w:val="a7"/>
        <w:noProof/>
      </w:rPr>
      <w:t>1</w:t>
    </w:r>
    <w:r>
      <w:rPr>
        <w:rStyle w:val="a7"/>
      </w:rPr>
      <w:fldChar w:fldCharType="end"/>
    </w:r>
  </w:p>
  <w:p w:rsidR="001B1528" w:rsidRDefault="00AF1A08">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F1A08" w:rsidRDefault="00AF1A08" w:rsidP="00C26180">
      <w:r>
        <w:separator/>
      </w:r>
    </w:p>
  </w:footnote>
  <w:footnote w:type="continuationSeparator" w:id="0">
    <w:p w:rsidR="00AF1A08" w:rsidRDefault="00AF1A08" w:rsidP="00C2618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embedSystemFonts/>
  <w:bordersDoNotSurroundHeader/>
  <w:bordersDoNotSurroundFooter/>
  <w:proofState w:spelling="clean" w:grammar="dirty"/>
  <w:defaultTabStop w:val="840"/>
  <w:drawingGridHorizontalSpacing w:val="105"/>
  <w:drawingGridVerticalSpacing w:val="367"/>
  <w:displayHorizontalDrawingGridEvery w:val="0"/>
  <w:characterSpacingControl w:val="compressPunctuation"/>
  <w:hdrShapeDefaults>
    <o:shapedefaults v:ext="edit" spidmax="204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F1A08"/>
    <w:rsid w:val="004A1191"/>
    <w:rsid w:val="00884FBD"/>
    <w:rsid w:val="00AF1A08"/>
    <w:rsid w:val="00C26180"/>
    <w:rsid w:val="00CA2E3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chartTrackingRefBased/>
  <w15:docId w15:val="{EE24D50B-6A6F-445F-A6C2-80220651B0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entury" w:eastAsia="ＭＳ 明朝" w:hAnsi="Century"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AF1A08"/>
    <w:pPr>
      <w:widowControl w:val="0"/>
      <w:jc w:val="both"/>
    </w:pPr>
    <w:rPr>
      <w:rFonts w:cs="Times New Roman"/>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C26180"/>
    <w:pPr>
      <w:tabs>
        <w:tab w:val="center" w:pos="4252"/>
        <w:tab w:val="right" w:pos="8504"/>
      </w:tabs>
      <w:snapToGrid w:val="0"/>
    </w:pPr>
    <w:rPr>
      <w:rFonts w:cstheme="minorBidi"/>
      <w:szCs w:val="22"/>
    </w:rPr>
  </w:style>
  <w:style w:type="character" w:customStyle="1" w:styleId="a4">
    <w:name w:val="ヘッダー (文字)"/>
    <w:basedOn w:val="a0"/>
    <w:link w:val="a3"/>
    <w:uiPriority w:val="99"/>
    <w:rsid w:val="00C26180"/>
  </w:style>
  <w:style w:type="paragraph" w:styleId="a5">
    <w:name w:val="footer"/>
    <w:basedOn w:val="a"/>
    <w:link w:val="a6"/>
    <w:unhideWhenUsed/>
    <w:rsid w:val="00C26180"/>
    <w:pPr>
      <w:tabs>
        <w:tab w:val="center" w:pos="4252"/>
        <w:tab w:val="right" w:pos="8504"/>
      </w:tabs>
      <w:snapToGrid w:val="0"/>
    </w:pPr>
    <w:rPr>
      <w:rFonts w:cstheme="minorBidi"/>
      <w:szCs w:val="22"/>
    </w:rPr>
  </w:style>
  <w:style w:type="character" w:customStyle="1" w:styleId="a6">
    <w:name w:val="フッター (文字)"/>
    <w:basedOn w:val="a0"/>
    <w:link w:val="a5"/>
    <w:uiPriority w:val="99"/>
    <w:rsid w:val="00C26180"/>
  </w:style>
  <w:style w:type="character" w:styleId="a7">
    <w:name w:val="page number"/>
    <w:basedOn w:val="a0"/>
    <w:semiHidden/>
    <w:rsid w:val="00AF1A0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2.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oter" Target="foot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Arial-Times New Roman">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Times New Roman" panose="02020603050405020304"/>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196</Words>
  <Characters>1121</Characters>
  <Application>Microsoft Office Word</Application>
  <DocSecurity>0</DocSecurity>
  <Lines>9</Lines>
  <Paragraphs>2</Paragraphs>
  <ScaleCrop>false</ScaleCrop>
  <Company/>
  <LinksUpToDate>false</LinksUpToDate>
  <CharactersWithSpaces>1315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oitapref</dc:creator>
  <cp:keywords/>
  <dc:description/>
  <cp:lastModifiedBy>oitapref</cp:lastModifiedBy>
  <cp:revision>1</cp:revision>
  <dcterms:created xsi:type="dcterms:W3CDTF">2022-11-29T09:05:00Z</dcterms:created>
  <dcterms:modified xsi:type="dcterms:W3CDTF">2022-11-29T09:05:00Z</dcterms:modified>
</cp:coreProperties>
</file>