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73C39" w:rsidRDefault="00073C39" w:rsidP="00073C39">
      <w:pPr>
        <w:ind w:leftChars="-342" w:left="-718" w:rightChars="-171" w:right="-359"/>
        <w:jc w:val="right"/>
        <w:rPr>
          <w:rFonts w:ascii="ＭＳ ゴシック" w:eastAsia="ＭＳ ゴシック" w:hAnsi="ＭＳ ゴシック" w:hint="eastAsia"/>
        </w:rPr>
      </w:pPr>
      <w:r>
        <w:rPr>
          <w:rFonts w:ascii="ＭＳ ゴシック" w:eastAsia="ＭＳ ゴシック" w:hAnsi="ＭＳ ゴシック" w:hint="eastAsia"/>
        </w:rPr>
        <w:t>別添（</w:t>
      </w:r>
      <w:r>
        <w:rPr>
          <w:rFonts w:ascii="ＭＳ ゴシック" w:eastAsia="ＭＳ ゴシック" w:hAnsi="ＭＳ ゴシック" w:hint="eastAsia"/>
          <w:u w:val="single"/>
        </w:rPr>
        <w:t xml:space="preserve">　　　</w:t>
      </w:r>
      <w:r>
        <w:rPr>
          <w:rFonts w:ascii="ＭＳ ゴシック" w:eastAsia="ＭＳ ゴシック" w:hAnsi="ＭＳ ゴシック" w:hint="eastAsia"/>
        </w:rPr>
        <w:t>）</w:t>
      </w:r>
    </w:p>
    <w:p w:rsidR="00073C39" w:rsidRDefault="00073C39" w:rsidP="00073C39">
      <w:pPr>
        <w:ind w:leftChars="-171" w:left="-359" w:rightChars="-85" w:right="-178"/>
        <w:jc w:val="center"/>
        <w:rPr>
          <w:rFonts w:ascii="ＭＳ ゴシック" w:eastAsia="ＭＳ ゴシック" w:hAnsi="ＭＳ ゴシック" w:hint="eastAsia"/>
        </w:rPr>
      </w:pPr>
      <w:r>
        <w:rPr>
          <w:rFonts w:ascii="ＭＳ ゴシック" w:eastAsia="ＭＳ ゴシック" w:hAnsi="ＭＳ ゴシック" w:hint="eastAsia"/>
          <w:sz w:val="24"/>
        </w:rPr>
        <w:t>一般高圧ガス保安規則第５０条に定める技術上の基準についての対応状況</w:t>
      </w:r>
    </w:p>
    <w:p w:rsidR="00073C39" w:rsidRDefault="00073C39" w:rsidP="00073C39">
      <w:pPr>
        <w:ind w:leftChars="-342" w:left="-718" w:rightChars="-85" w:right="-178"/>
        <w:jc w:val="right"/>
        <w:rPr>
          <w:rFonts w:ascii="ＭＳ ゴシック" w:eastAsia="ＭＳ ゴシック" w:hAnsi="ＭＳ ゴシック" w:hint="eastAsia"/>
        </w:rPr>
      </w:pPr>
      <w:r>
        <w:rPr>
          <w:rFonts w:ascii="ＭＳ ゴシック" w:eastAsia="ＭＳ ゴシック" w:hAnsi="ＭＳ ゴシック" w:hint="eastAsia"/>
          <w:sz w:val="18"/>
        </w:rPr>
        <w:t>（その他の場合における移動に係る技術上の基準）</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077"/>
        <w:gridCol w:w="1999"/>
        <w:gridCol w:w="4871"/>
        <w:gridCol w:w="1773"/>
      </w:tblGrid>
      <w:tr w:rsidR="00073C39" w:rsidRPr="00376DC2" w:rsidTr="00E70D39">
        <w:tblPrEx>
          <w:tblCellMar>
            <w:top w:w="0" w:type="dxa"/>
            <w:bottom w:w="0" w:type="dxa"/>
          </w:tblCellMar>
        </w:tblPrEx>
        <w:trPr>
          <w:trHeight w:val="354"/>
        </w:trPr>
        <w:tc>
          <w:tcPr>
            <w:tcW w:w="1077" w:type="dxa"/>
            <w:tcBorders>
              <w:bottom w:val="single" w:sz="4" w:space="0" w:color="auto"/>
            </w:tcBorders>
          </w:tcPr>
          <w:p w:rsidR="00073C39" w:rsidRPr="00376DC2" w:rsidRDefault="00073C39" w:rsidP="00E70D39">
            <w:pPr>
              <w:jc w:val="center"/>
              <w:rPr>
                <w:rFonts w:ascii="ＭＳ ゴシック" w:eastAsia="ＭＳ ゴシック" w:hAnsi="ＭＳ ゴシック" w:hint="eastAsia"/>
                <w:szCs w:val="21"/>
              </w:rPr>
            </w:pPr>
            <w:r w:rsidRPr="00376DC2">
              <w:rPr>
                <w:rFonts w:ascii="ＭＳ ゴシック" w:eastAsia="ＭＳ ゴシック" w:hAnsi="ＭＳ ゴシック"/>
                <w:szCs w:val="21"/>
              </w:rPr>
              <w:br w:type="page"/>
            </w:r>
            <w:r w:rsidRPr="00376DC2">
              <w:rPr>
                <w:rFonts w:ascii="ＭＳ ゴシック" w:eastAsia="ＭＳ ゴシック" w:hAnsi="ＭＳ ゴシック" w:hint="eastAsia"/>
                <w:szCs w:val="21"/>
              </w:rPr>
              <w:t>根拠条項</w:t>
            </w:r>
          </w:p>
        </w:tc>
        <w:tc>
          <w:tcPr>
            <w:tcW w:w="1999" w:type="dxa"/>
          </w:tcPr>
          <w:p w:rsidR="00073C39" w:rsidRPr="00376DC2" w:rsidRDefault="00073C39" w:rsidP="00E70D39">
            <w:pPr>
              <w:jc w:val="cente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項目</w:t>
            </w:r>
          </w:p>
        </w:tc>
        <w:tc>
          <w:tcPr>
            <w:tcW w:w="4871" w:type="dxa"/>
          </w:tcPr>
          <w:p w:rsidR="00073C39" w:rsidRPr="00376DC2" w:rsidRDefault="00073C39" w:rsidP="00E70D39">
            <w:pPr>
              <w:jc w:val="cente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内容</w:t>
            </w:r>
          </w:p>
        </w:tc>
        <w:tc>
          <w:tcPr>
            <w:tcW w:w="1773" w:type="dxa"/>
          </w:tcPr>
          <w:p w:rsidR="00073C39" w:rsidRPr="00376DC2" w:rsidRDefault="00073C39" w:rsidP="00E70D39">
            <w:pPr>
              <w:jc w:val="cente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対応状況</w:t>
            </w:r>
          </w:p>
        </w:tc>
      </w:tr>
      <w:tr w:rsidR="00073C39" w:rsidRPr="00376DC2" w:rsidTr="00E70D39">
        <w:tblPrEx>
          <w:tblCellMar>
            <w:top w:w="0" w:type="dxa"/>
            <w:bottom w:w="0" w:type="dxa"/>
          </w:tblCellMar>
        </w:tblPrEx>
        <w:trPr>
          <w:cantSplit/>
        </w:trPr>
        <w:tc>
          <w:tcPr>
            <w:tcW w:w="1077" w:type="dxa"/>
          </w:tcPr>
          <w:p w:rsidR="00073C39" w:rsidRPr="00376DC2" w:rsidRDefault="00073C39" w:rsidP="00E70D39">
            <w:pPr>
              <w:rPr>
                <w:rFonts w:ascii="ＭＳ ゴシック" w:eastAsia="ＭＳ ゴシック" w:hAnsi="ＭＳ ゴシック" w:hint="eastAsia"/>
                <w:szCs w:val="21"/>
              </w:rPr>
            </w:pPr>
            <w:r>
              <w:rPr>
                <w:rFonts w:ascii="ＭＳ ゴシック" w:eastAsia="ＭＳ ゴシック" w:hAnsi="ＭＳ ゴシック" w:hint="eastAsia"/>
                <w:szCs w:val="21"/>
              </w:rPr>
              <w:t>５０</w:t>
            </w:r>
            <w:r w:rsidRPr="00376DC2">
              <w:rPr>
                <w:rFonts w:ascii="ＭＳ ゴシック" w:eastAsia="ＭＳ ゴシック" w:hAnsi="ＭＳ ゴシック" w:hint="eastAsia"/>
                <w:szCs w:val="21"/>
              </w:rPr>
              <w:t>条</w:t>
            </w:r>
          </w:p>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 xml:space="preserve">１項　</w:t>
            </w:r>
          </w:p>
        </w:tc>
        <w:tc>
          <w:tcPr>
            <w:tcW w:w="1999" w:type="dxa"/>
          </w:tcPr>
          <w:p w:rsidR="00073C39" w:rsidRPr="00376DC2" w:rsidRDefault="00073C39" w:rsidP="00E70D39">
            <w:pPr>
              <w:rPr>
                <w:rFonts w:ascii="ＭＳ ゴシック" w:eastAsia="ＭＳ ゴシック" w:hAnsi="ＭＳ ゴシック" w:hint="eastAsia"/>
                <w:szCs w:val="21"/>
              </w:rPr>
            </w:pPr>
          </w:p>
        </w:tc>
        <w:tc>
          <w:tcPr>
            <w:tcW w:w="4871" w:type="dxa"/>
          </w:tcPr>
          <w:p w:rsidR="00073C39" w:rsidRPr="00376DC2" w:rsidRDefault="00073C39" w:rsidP="00E70D39">
            <w:pPr>
              <w:ind w:firstLineChars="100" w:firstLine="210"/>
              <w:rPr>
                <w:rFonts w:ascii="ＭＳ ゴシック" w:eastAsia="ＭＳ ゴシック" w:hAnsi="ＭＳ ゴシック" w:hint="eastAsia"/>
                <w:szCs w:val="21"/>
              </w:rPr>
            </w:pPr>
            <w:r w:rsidRPr="00376DC2">
              <w:rPr>
                <w:rFonts w:ascii="ＭＳ ゴシック" w:eastAsia="ＭＳ ゴシック" w:hAnsi="ＭＳ ゴシック"/>
                <w:szCs w:val="21"/>
              </w:rPr>
              <w:t>前条に規定する場合以外の場合における法第二十三条第一項の経済産業省令で定める保安上必要な措置及び同条第二項の経済産業省令で定める技術上の基準は、次に掲げるものとする。</w:t>
            </w:r>
          </w:p>
        </w:tc>
        <w:tc>
          <w:tcPr>
            <w:tcW w:w="1773" w:type="dxa"/>
            <w:vAlign w:val="center"/>
          </w:tcPr>
          <w:p w:rsidR="00073C39" w:rsidRPr="00376DC2" w:rsidRDefault="00073C39" w:rsidP="00E70D39">
            <w:pPr>
              <w:ind w:leftChars="-60" w:left="-126" w:rightChars="-47" w:right="-99"/>
              <w:rPr>
                <w:rFonts w:ascii="ＭＳ ゴシック" w:eastAsia="ＭＳ ゴシック" w:hAnsi="ＭＳ ゴシック" w:hint="eastAsia"/>
                <w:szCs w:val="21"/>
              </w:rPr>
            </w:pPr>
          </w:p>
        </w:tc>
      </w:tr>
      <w:tr w:rsidR="00073C39" w:rsidRPr="00376DC2" w:rsidTr="00E70D39">
        <w:tblPrEx>
          <w:tblCellMar>
            <w:top w:w="0" w:type="dxa"/>
            <w:bottom w:w="0" w:type="dxa"/>
          </w:tblCellMar>
        </w:tblPrEx>
        <w:trPr>
          <w:cantSplit/>
        </w:trPr>
        <w:tc>
          <w:tcPr>
            <w:tcW w:w="1077"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１号</w:t>
            </w:r>
          </w:p>
        </w:tc>
        <w:tc>
          <w:tcPr>
            <w:tcW w:w="1999" w:type="dxa"/>
          </w:tcPr>
          <w:p w:rsidR="00073C39" w:rsidRPr="00376DC2" w:rsidRDefault="00073C39" w:rsidP="00E70D39">
            <w:pPr>
              <w:rPr>
                <w:rFonts w:ascii="ＭＳ ゴシック" w:eastAsia="ＭＳ ゴシック" w:hAnsi="ＭＳ ゴシック" w:hint="eastAsia"/>
                <w:szCs w:val="21"/>
              </w:rPr>
            </w:pPr>
            <w:r>
              <w:rPr>
                <w:rFonts w:ascii="ＭＳ ゴシック" w:eastAsia="ＭＳ ゴシック" w:hAnsi="ＭＳ ゴシック" w:hint="eastAsia"/>
                <w:szCs w:val="21"/>
              </w:rPr>
              <w:t>警戒標</w:t>
            </w:r>
          </w:p>
        </w:tc>
        <w:tc>
          <w:tcPr>
            <w:tcW w:w="4871" w:type="dxa"/>
          </w:tcPr>
          <w:p w:rsidR="00073C39" w:rsidRPr="00376DC2" w:rsidRDefault="00073C39" w:rsidP="00E70D39">
            <w:pPr>
              <w:ind w:firstLineChars="100" w:firstLine="210"/>
              <w:rPr>
                <w:rFonts w:ascii="ＭＳ ゴシック" w:eastAsia="ＭＳ ゴシック" w:hAnsi="ＭＳ ゴシック" w:hint="eastAsia"/>
                <w:szCs w:val="21"/>
              </w:rPr>
            </w:pPr>
            <w:r w:rsidRPr="00376DC2">
              <w:rPr>
                <w:rFonts w:ascii="ＭＳ ゴシック" w:eastAsia="ＭＳ ゴシック" w:hAnsi="ＭＳ ゴシック"/>
                <w:szCs w:val="21"/>
              </w:rPr>
              <w:t>充てん容器等を車両に積載して移動するとき（容器の内容積が二十リットル以下である充てん容器等（毒性ガスに係るものを除く。）のみを積載した車両であつて、当該積載容器の内容積の合計が四十リットル以下である場合を除く。）は、当該車両の見やすい箇所に警戒標を掲げること。</w:t>
            </w:r>
          </w:p>
        </w:tc>
        <w:tc>
          <w:tcPr>
            <w:tcW w:w="1773" w:type="dxa"/>
          </w:tcPr>
          <w:p w:rsidR="00073C39" w:rsidRPr="00376DC2" w:rsidRDefault="00073C39" w:rsidP="00E70D39">
            <w:pPr>
              <w:rPr>
                <w:rFonts w:ascii="ＭＳ ゴシック" w:eastAsia="ＭＳ ゴシック" w:hAnsi="ＭＳ ゴシック" w:hint="eastAsia"/>
                <w:szCs w:val="21"/>
              </w:rPr>
            </w:pPr>
          </w:p>
        </w:tc>
      </w:tr>
      <w:tr w:rsidR="00073C39" w:rsidRPr="00376DC2" w:rsidTr="00E70D39">
        <w:tblPrEx>
          <w:tblCellMar>
            <w:top w:w="0" w:type="dxa"/>
            <w:bottom w:w="0" w:type="dxa"/>
          </w:tblCellMar>
        </w:tblPrEx>
        <w:trPr>
          <w:cantSplit/>
        </w:trPr>
        <w:tc>
          <w:tcPr>
            <w:tcW w:w="1077"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２号</w:t>
            </w:r>
          </w:p>
        </w:tc>
        <w:tc>
          <w:tcPr>
            <w:tcW w:w="1999" w:type="dxa"/>
          </w:tcPr>
          <w:p w:rsidR="00073C39" w:rsidRPr="00376DC2" w:rsidRDefault="00073C39" w:rsidP="00E70D39">
            <w:pPr>
              <w:rPr>
                <w:rFonts w:ascii="ＭＳ ゴシック" w:eastAsia="ＭＳ ゴシック" w:hAnsi="ＭＳ ゴシック" w:hint="eastAsia"/>
                <w:szCs w:val="21"/>
              </w:rPr>
            </w:pPr>
            <w:r>
              <w:rPr>
                <w:rFonts w:ascii="ＭＳ ゴシック" w:eastAsia="ＭＳ ゴシック" w:hAnsi="ＭＳ ゴシック" w:hint="eastAsia"/>
                <w:szCs w:val="21"/>
              </w:rPr>
              <w:t>充てん容器等の温度管理</w:t>
            </w:r>
          </w:p>
        </w:tc>
        <w:tc>
          <w:tcPr>
            <w:tcW w:w="4871" w:type="dxa"/>
          </w:tcPr>
          <w:p w:rsidR="00073C39" w:rsidRPr="00376DC2" w:rsidRDefault="00073C39" w:rsidP="00E70D39">
            <w:pPr>
              <w:ind w:firstLineChars="100" w:firstLine="210"/>
              <w:rPr>
                <w:rFonts w:ascii="ＭＳ ゴシック" w:eastAsia="ＭＳ ゴシック" w:hAnsi="ＭＳ ゴシック" w:hint="eastAsia"/>
                <w:szCs w:val="21"/>
              </w:rPr>
            </w:pPr>
            <w:r w:rsidRPr="00376DC2">
              <w:rPr>
                <w:rFonts w:ascii="ＭＳ ゴシック" w:eastAsia="ＭＳ ゴシック" w:hAnsi="ＭＳ ゴシック"/>
                <w:szCs w:val="21"/>
              </w:rPr>
              <w:t>充てん容器等は、その温度（ガスの温度を計測できる充てん容器等にあつては、ガスの温度）を常に四十度以下に保つこと。</w:t>
            </w:r>
          </w:p>
        </w:tc>
        <w:tc>
          <w:tcPr>
            <w:tcW w:w="1773" w:type="dxa"/>
          </w:tcPr>
          <w:p w:rsidR="00073C39" w:rsidRPr="00376DC2" w:rsidRDefault="00073C39" w:rsidP="00E70D39">
            <w:pPr>
              <w:ind w:leftChars="-60" w:left="-126" w:rightChars="-47" w:right="-99"/>
              <w:rPr>
                <w:rFonts w:ascii="ＭＳ ゴシック" w:eastAsia="ＭＳ ゴシック" w:hAnsi="ＭＳ ゴシック" w:hint="eastAsia"/>
                <w:szCs w:val="21"/>
              </w:rPr>
            </w:pPr>
          </w:p>
        </w:tc>
      </w:tr>
      <w:tr w:rsidR="00073C39" w:rsidRPr="00376DC2" w:rsidTr="00E70D39">
        <w:tblPrEx>
          <w:tblCellMar>
            <w:top w:w="0" w:type="dxa"/>
            <w:bottom w:w="0" w:type="dxa"/>
          </w:tblCellMar>
        </w:tblPrEx>
        <w:trPr>
          <w:cantSplit/>
        </w:trPr>
        <w:tc>
          <w:tcPr>
            <w:tcW w:w="1077"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３号</w:t>
            </w:r>
          </w:p>
        </w:tc>
        <w:tc>
          <w:tcPr>
            <w:tcW w:w="1999" w:type="dxa"/>
          </w:tcPr>
          <w:p w:rsidR="00073C39" w:rsidRPr="00376DC2" w:rsidRDefault="00073C39" w:rsidP="00E70D39">
            <w:pPr>
              <w:rPr>
                <w:rFonts w:ascii="ＭＳ ゴシック" w:eastAsia="ＭＳ ゴシック" w:hAnsi="ＭＳ ゴシック" w:hint="eastAsia"/>
                <w:szCs w:val="21"/>
              </w:rPr>
            </w:pPr>
            <w:r>
              <w:rPr>
                <w:rFonts w:ascii="ＭＳ ゴシック" w:eastAsia="ＭＳ ゴシック" w:hAnsi="ＭＳ ゴシック" w:hint="eastAsia"/>
                <w:szCs w:val="21"/>
              </w:rPr>
              <w:t>移動に使用できない容器</w:t>
            </w:r>
          </w:p>
        </w:tc>
        <w:tc>
          <w:tcPr>
            <w:tcW w:w="4871" w:type="dxa"/>
          </w:tcPr>
          <w:p w:rsidR="00073C39" w:rsidRPr="00376DC2" w:rsidRDefault="00073C39" w:rsidP="00E70D39">
            <w:pPr>
              <w:ind w:firstLineChars="100" w:firstLine="210"/>
              <w:rPr>
                <w:rFonts w:ascii="ＭＳ ゴシック" w:eastAsia="ＭＳ ゴシック" w:hAnsi="ＭＳ ゴシック" w:hint="eastAsia"/>
                <w:szCs w:val="21"/>
              </w:rPr>
            </w:pPr>
            <w:r w:rsidRPr="00376DC2">
              <w:rPr>
                <w:rFonts w:ascii="ＭＳ ゴシック" w:eastAsia="ＭＳ ゴシック" w:hAnsi="ＭＳ ゴシック"/>
                <w:szCs w:val="21"/>
              </w:rPr>
              <w:t>一般複合容器等であつて当該容器の刻印等により示された年月から十五年を経過したもの（容器保安規則第二条第十二号に規定する圧縮天然ガス自動車燃料装置用容器、同条第十三号に規定する圧縮水素自動車燃料装置用容器又は同条第十七号の二に規定する圧縮水素運送自動車用容器にあつては、同規則第八条第一項第十号の充てん可能期限年月日を経過したもの）を高圧ガスの移動に使用しないこと。</w:t>
            </w:r>
          </w:p>
        </w:tc>
        <w:tc>
          <w:tcPr>
            <w:tcW w:w="1773" w:type="dxa"/>
          </w:tcPr>
          <w:p w:rsidR="00073C39" w:rsidRPr="00376DC2" w:rsidRDefault="00073C39" w:rsidP="00E70D39">
            <w:pPr>
              <w:ind w:leftChars="-60" w:left="-126" w:rightChars="-47" w:right="-99"/>
              <w:rPr>
                <w:rFonts w:ascii="ＭＳ ゴシック" w:eastAsia="ＭＳ ゴシック" w:hAnsi="ＭＳ ゴシック" w:hint="eastAsia"/>
                <w:szCs w:val="21"/>
              </w:rPr>
            </w:pPr>
          </w:p>
        </w:tc>
      </w:tr>
      <w:tr w:rsidR="00073C39" w:rsidRPr="00376DC2" w:rsidTr="00E70D39">
        <w:tblPrEx>
          <w:tblCellMar>
            <w:top w:w="0" w:type="dxa"/>
            <w:bottom w:w="0" w:type="dxa"/>
          </w:tblCellMar>
        </w:tblPrEx>
        <w:trPr>
          <w:cantSplit/>
        </w:trPr>
        <w:tc>
          <w:tcPr>
            <w:tcW w:w="1077"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４号</w:t>
            </w:r>
          </w:p>
        </w:tc>
        <w:tc>
          <w:tcPr>
            <w:tcW w:w="1999" w:type="dxa"/>
          </w:tcPr>
          <w:p w:rsidR="00073C39" w:rsidRPr="00376DC2" w:rsidRDefault="00073C39" w:rsidP="00E70D39">
            <w:pPr>
              <w:rPr>
                <w:rFonts w:ascii="ＭＳ ゴシック" w:eastAsia="ＭＳ ゴシック" w:hAnsi="ＭＳ ゴシック" w:hint="eastAsia"/>
                <w:szCs w:val="21"/>
              </w:rPr>
            </w:pPr>
            <w:r>
              <w:rPr>
                <w:rFonts w:ascii="ＭＳ ゴシック" w:eastAsia="ＭＳ ゴシック" w:hAnsi="ＭＳ ゴシック" w:hint="eastAsia"/>
                <w:szCs w:val="21"/>
              </w:rPr>
              <w:t>転落・転倒等防止措置</w:t>
            </w:r>
          </w:p>
        </w:tc>
        <w:tc>
          <w:tcPr>
            <w:tcW w:w="4871" w:type="dxa"/>
          </w:tcPr>
          <w:p w:rsidR="00073C39" w:rsidRPr="00376DC2" w:rsidRDefault="00073C39" w:rsidP="00E70D39">
            <w:pPr>
              <w:ind w:firstLineChars="100" w:firstLine="210"/>
              <w:rPr>
                <w:rFonts w:ascii="ＭＳ ゴシック" w:eastAsia="ＭＳ ゴシック" w:hAnsi="ＭＳ ゴシック" w:hint="eastAsia"/>
                <w:szCs w:val="21"/>
              </w:rPr>
            </w:pPr>
            <w:r w:rsidRPr="00376DC2">
              <w:rPr>
                <w:rFonts w:ascii="ＭＳ ゴシック" w:eastAsia="ＭＳ ゴシック" w:hAnsi="ＭＳ ゴシック"/>
                <w:szCs w:val="21"/>
              </w:rPr>
              <w:t>充てん容器等（内容積が五リットル以下のものを除く。）には、転落、転倒等による衝撃及びバルブの損傷を防止する措置を講じ、かつ、粗暴な取扱いをしないこと。</w:t>
            </w:r>
          </w:p>
        </w:tc>
        <w:tc>
          <w:tcPr>
            <w:tcW w:w="1773" w:type="dxa"/>
          </w:tcPr>
          <w:p w:rsidR="00073C39" w:rsidRPr="00376DC2" w:rsidRDefault="00073C39" w:rsidP="00E70D39">
            <w:pPr>
              <w:ind w:leftChars="-60" w:left="-126" w:rightChars="-47" w:right="-99"/>
              <w:rPr>
                <w:rFonts w:ascii="ＭＳ ゴシック" w:eastAsia="ＭＳ ゴシック" w:hAnsi="ＭＳ ゴシック" w:hint="eastAsia"/>
                <w:szCs w:val="21"/>
              </w:rPr>
            </w:pPr>
          </w:p>
        </w:tc>
      </w:tr>
      <w:tr w:rsidR="00073C39" w:rsidRPr="00376DC2" w:rsidTr="00E70D39">
        <w:tblPrEx>
          <w:tblCellMar>
            <w:top w:w="0" w:type="dxa"/>
            <w:bottom w:w="0" w:type="dxa"/>
          </w:tblCellMar>
        </w:tblPrEx>
        <w:trPr>
          <w:cantSplit/>
        </w:trPr>
        <w:tc>
          <w:tcPr>
            <w:tcW w:w="1077"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５号</w:t>
            </w:r>
          </w:p>
        </w:tc>
        <w:tc>
          <w:tcPr>
            <w:tcW w:w="1999" w:type="dxa"/>
            <w:vMerge w:val="restart"/>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混載禁止</w:t>
            </w:r>
          </w:p>
        </w:tc>
        <w:tc>
          <w:tcPr>
            <w:tcW w:w="4871"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szCs w:val="21"/>
              </w:rPr>
              <w:t>次に掲げるものは、同一の車両に積載して移動しないこと。</w:t>
            </w:r>
          </w:p>
        </w:tc>
        <w:tc>
          <w:tcPr>
            <w:tcW w:w="1773" w:type="dxa"/>
          </w:tcPr>
          <w:p w:rsidR="00073C39" w:rsidRPr="00376DC2" w:rsidRDefault="00073C39" w:rsidP="00E70D39">
            <w:pPr>
              <w:ind w:leftChars="-60" w:left="-126" w:rightChars="-47" w:right="-99"/>
              <w:rPr>
                <w:rFonts w:ascii="ＭＳ ゴシック" w:eastAsia="ＭＳ ゴシック" w:hAnsi="ＭＳ ゴシック" w:hint="eastAsia"/>
                <w:szCs w:val="21"/>
              </w:rPr>
            </w:pPr>
          </w:p>
        </w:tc>
      </w:tr>
      <w:tr w:rsidR="00073C39" w:rsidRPr="00376DC2" w:rsidTr="00E70D39">
        <w:tblPrEx>
          <w:tblCellMar>
            <w:top w:w="0" w:type="dxa"/>
            <w:bottom w:w="0" w:type="dxa"/>
          </w:tblCellMar>
        </w:tblPrEx>
        <w:trPr>
          <w:cantSplit/>
        </w:trPr>
        <w:tc>
          <w:tcPr>
            <w:tcW w:w="1077" w:type="dxa"/>
          </w:tcPr>
          <w:p w:rsidR="00073C39" w:rsidRPr="00376DC2" w:rsidRDefault="00073C39" w:rsidP="00E70D39">
            <w:pPr>
              <w:ind w:firstLineChars="100" w:firstLine="210"/>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イ</w:t>
            </w:r>
          </w:p>
        </w:tc>
        <w:tc>
          <w:tcPr>
            <w:tcW w:w="1999" w:type="dxa"/>
            <w:vMerge/>
          </w:tcPr>
          <w:p w:rsidR="00073C39" w:rsidRPr="00376DC2" w:rsidRDefault="00073C39" w:rsidP="00E70D39">
            <w:pPr>
              <w:rPr>
                <w:rFonts w:ascii="ＭＳ ゴシック" w:eastAsia="ＭＳ ゴシック" w:hAnsi="ＭＳ ゴシック" w:hint="eastAsia"/>
                <w:szCs w:val="21"/>
              </w:rPr>
            </w:pPr>
          </w:p>
        </w:tc>
        <w:tc>
          <w:tcPr>
            <w:tcW w:w="4871"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szCs w:val="21"/>
              </w:rPr>
              <w:t>充てん容器等と消防法（昭和二十三年法律第百八十六号）第二条第七項に規定する危険物（圧縮天然ガス又は不活性ガスの充てん容器等（内容積百二十リットル未満のものに限る。）と同法別表に掲げる第四類の危険物との場合及びアセチレン又は酸素の充てん容器等（内容積が百二十リットル未満のものに限る。）と別表に掲げる第四類の第三石油類又は第四石油類の危険物との場合を除く。）</w:t>
            </w:r>
          </w:p>
        </w:tc>
        <w:tc>
          <w:tcPr>
            <w:tcW w:w="1773" w:type="dxa"/>
          </w:tcPr>
          <w:p w:rsidR="00073C39" w:rsidRPr="00376DC2" w:rsidRDefault="00073C39" w:rsidP="00E70D39">
            <w:pPr>
              <w:ind w:leftChars="-60" w:left="-126" w:rightChars="-47" w:right="-99"/>
              <w:rPr>
                <w:rFonts w:ascii="ＭＳ ゴシック" w:eastAsia="ＭＳ ゴシック" w:hAnsi="ＭＳ ゴシック" w:hint="eastAsia"/>
                <w:szCs w:val="21"/>
              </w:rPr>
            </w:pPr>
          </w:p>
        </w:tc>
      </w:tr>
      <w:tr w:rsidR="00073C39" w:rsidRPr="00376DC2" w:rsidTr="00E70D39">
        <w:tblPrEx>
          <w:tblCellMar>
            <w:top w:w="0" w:type="dxa"/>
            <w:bottom w:w="0" w:type="dxa"/>
          </w:tblCellMar>
        </w:tblPrEx>
        <w:trPr>
          <w:cantSplit/>
        </w:trPr>
        <w:tc>
          <w:tcPr>
            <w:tcW w:w="1077"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lastRenderedPageBreak/>
              <w:t xml:space="preserve">　ロ</w:t>
            </w:r>
          </w:p>
        </w:tc>
        <w:tc>
          <w:tcPr>
            <w:tcW w:w="1999" w:type="dxa"/>
            <w:vMerge/>
          </w:tcPr>
          <w:p w:rsidR="00073C39" w:rsidRPr="00376DC2" w:rsidRDefault="00073C39" w:rsidP="00E70D39">
            <w:pPr>
              <w:rPr>
                <w:rFonts w:ascii="ＭＳ ゴシック" w:eastAsia="ＭＳ ゴシック" w:hAnsi="ＭＳ ゴシック" w:hint="eastAsia"/>
                <w:szCs w:val="21"/>
              </w:rPr>
            </w:pPr>
          </w:p>
        </w:tc>
        <w:tc>
          <w:tcPr>
            <w:tcW w:w="4871"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szCs w:val="21"/>
              </w:rPr>
              <w:t>塩素の充てん容器等とアセチレン、アンモニア又は水素の充てん容器等</w:t>
            </w:r>
          </w:p>
        </w:tc>
        <w:tc>
          <w:tcPr>
            <w:tcW w:w="1773" w:type="dxa"/>
          </w:tcPr>
          <w:p w:rsidR="00073C39" w:rsidRPr="00376DC2" w:rsidRDefault="00073C39" w:rsidP="00E70D39">
            <w:pPr>
              <w:ind w:leftChars="-60" w:left="-126" w:rightChars="-47" w:right="-99"/>
              <w:rPr>
                <w:rFonts w:ascii="ＭＳ ゴシック" w:eastAsia="ＭＳ ゴシック" w:hAnsi="ＭＳ ゴシック" w:hint="eastAsia"/>
                <w:szCs w:val="21"/>
              </w:rPr>
            </w:pPr>
          </w:p>
        </w:tc>
      </w:tr>
      <w:tr w:rsidR="00073C39" w:rsidRPr="00376DC2" w:rsidTr="00E70D39">
        <w:tblPrEx>
          <w:tblCellMar>
            <w:top w:w="0" w:type="dxa"/>
            <w:bottom w:w="0" w:type="dxa"/>
          </w:tblCellMar>
        </w:tblPrEx>
        <w:trPr>
          <w:cantSplit/>
        </w:trPr>
        <w:tc>
          <w:tcPr>
            <w:tcW w:w="1077"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６号</w:t>
            </w:r>
          </w:p>
        </w:tc>
        <w:tc>
          <w:tcPr>
            <w:tcW w:w="1999" w:type="dxa"/>
          </w:tcPr>
          <w:p w:rsidR="00073C39" w:rsidRPr="00376DC2" w:rsidRDefault="00073C39" w:rsidP="00E70D39">
            <w:pPr>
              <w:rPr>
                <w:rFonts w:ascii="ＭＳ ゴシック" w:eastAsia="ＭＳ ゴシック" w:hAnsi="ＭＳ ゴシック" w:hint="eastAsia"/>
                <w:szCs w:val="21"/>
              </w:rPr>
            </w:pPr>
            <w:r>
              <w:rPr>
                <w:rFonts w:ascii="ＭＳ ゴシック" w:eastAsia="ＭＳ ゴシック" w:hAnsi="ＭＳ ゴシック" w:hint="eastAsia"/>
                <w:szCs w:val="21"/>
              </w:rPr>
              <w:t>バルブの向き</w:t>
            </w:r>
          </w:p>
        </w:tc>
        <w:tc>
          <w:tcPr>
            <w:tcW w:w="4871" w:type="dxa"/>
          </w:tcPr>
          <w:p w:rsidR="00073C39" w:rsidRPr="00376DC2" w:rsidRDefault="00073C39" w:rsidP="00E70D39">
            <w:pPr>
              <w:ind w:firstLineChars="100" w:firstLine="210"/>
              <w:rPr>
                <w:rFonts w:ascii="ＭＳ ゴシック" w:eastAsia="ＭＳ ゴシック" w:hAnsi="ＭＳ ゴシック" w:hint="eastAsia"/>
                <w:szCs w:val="21"/>
              </w:rPr>
            </w:pPr>
            <w:r w:rsidRPr="00376DC2">
              <w:rPr>
                <w:rFonts w:ascii="ＭＳ ゴシック" w:eastAsia="ＭＳ ゴシック" w:hAnsi="ＭＳ ゴシック"/>
                <w:szCs w:val="21"/>
              </w:rPr>
              <w:t>可燃性ガスの充てん容器等と酸素の充てん容器等とを同一の車両に積載して移動するときは、これらの充てん容器等のバルブが相互に向き合わないようにすること。</w:t>
            </w:r>
          </w:p>
        </w:tc>
        <w:tc>
          <w:tcPr>
            <w:tcW w:w="1773" w:type="dxa"/>
          </w:tcPr>
          <w:p w:rsidR="00073C39" w:rsidRPr="00376DC2" w:rsidRDefault="00073C39" w:rsidP="00E70D39">
            <w:pPr>
              <w:rPr>
                <w:rFonts w:ascii="ＭＳ ゴシック" w:eastAsia="ＭＳ ゴシック" w:hAnsi="ＭＳ ゴシック" w:hint="eastAsia"/>
                <w:szCs w:val="21"/>
              </w:rPr>
            </w:pPr>
          </w:p>
        </w:tc>
      </w:tr>
      <w:tr w:rsidR="00073C39" w:rsidRPr="00376DC2" w:rsidTr="00E70D39">
        <w:tblPrEx>
          <w:tblCellMar>
            <w:top w:w="0" w:type="dxa"/>
            <w:bottom w:w="0" w:type="dxa"/>
          </w:tblCellMar>
        </w:tblPrEx>
        <w:trPr>
          <w:cantSplit/>
        </w:trPr>
        <w:tc>
          <w:tcPr>
            <w:tcW w:w="1077"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７号</w:t>
            </w:r>
          </w:p>
        </w:tc>
        <w:tc>
          <w:tcPr>
            <w:tcW w:w="1999" w:type="dxa"/>
          </w:tcPr>
          <w:p w:rsidR="00073C39" w:rsidRPr="00376DC2" w:rsidRDefault="00073C39" w:rsidP="00E70D39">
            <w:pPr>
              <w:rPr>
                <w:rFonts w:ascii="ＭＳ ゴシック" w:eastAsia="ＭＳ ゴシック" w:hAnsi="ＭＳ ゴシック" w:hint="eastAsia"/>
                <w:szCs w:val="21"/>
              </w:rPr>
            </w:pPr>
            <w:r>
              <w:rPr>
                <w:rFonts w:ascii="ＭＳ ゴシック" w:eastAsia="ＭＳ ゴシック" w:hAnsi="ＭＳ ゴシック" w:hint="eastAsia"/>
                <w:szCs w:val="21"/>
              </w:rPr>
              <w:t>毒性ガスに係る措置</w:t>
            </w:r>
          </w:p>
        </w:tc>
        <w:tc>
          <w:tcPr>
            <w:tcW w:w="4871" w:type="dxa"/>
          </w:tcPr>
          <w:p w:rsidR="00073C39" w:rsidRPr="00376DC2" w:rsidRDefault="00073C39" w:rsidP="00E70D39">
            <w:pPr>
              <w:ind w:firstLineChars="100" w:firstLine="210"/>
              <w:rPr>
                <w:rFonts w:ascii="ＭＳ ゴシック" w:eastAsia="ＭＳ ゴシック" w:hAnsi="ＭＳ ゴシック" w:hint="eastAsia"/>
                <w:szCs w:val="21"/>
              </w:rPr>
            </w:pPr>
            <w:r w:rsidRPr="00376DC2">
              <w:rPr>
                <w:rFonts w:ascii="ＭＳ ゴシック" w:eastAsia="ＭＳ ゴシック" w:hAnsi="ＭＳ ゴシック"/>
                <w:szCs w:val="21"/>
              </w:rPr>
              <w:t>毒性ガスの充てん容器等には、木枠又はパッキンを施すこと。</w:t>
            </w:r>
          </w:p>
        </w:tc>
        <w:tc>
          <w:tcPr>
            <w:tcW w:w="1773" w:type="dxa"/>
          </w:tcPr>
          <w:p w:rsidR="00073C39" w:rsidRPr="00376DC2" w:rsidRDefault="00073C39" w:rsidP="00E70D39">
            <w:pPr>
              <w:ind w:leftChars="-60" w:left="-126" w:rightChars="-47" w:right="-99"/>
              <w:rPr>
                <w:rFonts w:ascii="ＭＳ ゴシック" w:eastAsia="ＭＳ ゴシック" w:hAnsi="ＭＳ ゴシック" w:hint="eastAsia"/>
                <w:szCs w:val="21"/>
              </w:rPr>
            </w:pPr>
          </w:p>
        </w:tc>
      </w:tr>
      <w:tr w:rsidR="00073C39" w:rsidRPr="00376DC2" w:rsidTr="00E70D39">
        <w:tblPrEx>
          <w:tblCellMar>
            <w:top w:w="0" w:type="dxa"/>
            <w:bottom w:w="0" w:type="dxa"/>
          </w:tblCellMar>
        </w:tblPrEx>
        <w:trPr>
          <w:cantSplit/>
        </w:trPr>
        <w:tc>
          <w:tcPr>
            <w:tcW w:w="1077"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８号</w:t>
            </w:r>
          </w:p>
        </w:tc>
        <w:tc>
          <w:tcPr>
            <w:tcW w:w="1999" w:type="dxa"/>
          </w:tcPr>
          <w:p w:rsidR="00073C39" w:rsidRPr="00376DC2" w:rsidRDefault="00073C39" w:rsidP="00E70D39">
            <w:pPr>
              <w:rPr>
                <w:rFonts w:ascii="ＭＳ ゴシック" w:eastAsia="ＭＳ ゴシック" w:hAnsi="ＭＳ ゴシック" w:hint="eastAsia"/>
                <w:szCs w:val="21"/>
              </w:rPr>
            </w:pPr>
            <w:r>
              <w:rPr>
                <w:rFonts w:ascii="ＭＳ ゴシック" w:eastAsia="ＭＳ ゴシック" w:hAnsi="ＭＳ ゴシック" w:hint="eastAsia"/>
                <w:szCs w:val="21"/>
              </w:rPr>
              <w:t>消火設備及び防災工具等</w:t>
            </w:r>
          </w:p>
        </w:tc>
        <w:tc>
          <w:tcPr>
            <w:tcW w:w="4871" w:type="dxa"/>
          </w:tcPr>
          <w:p w:rsidR="00073C39" w:rsidRPr="00376DC2" w:rsidRDefault="00073C39" w:rsidP="00E70D39">
            <w:pPr>
              <w:ind w:firstLineChars="100" w:firstLine="210"/>
              <w:rPr>
                <w:rFonts w:ascii="ＭＳ ゴシック" w:eastAsia="ＭＳ ゴシック" w:hAnsi="ＭＳ ゴシック" w:hint="eastAsia"/>
                <w:szCs w:val="21"/>
              </w:rPr>
            </w:pPr>
            <w:r w:rsidRPr="00376DC2">
              <w:rPr>
                <w:rFonts w:ascii="ＭＳ ゴシック" w:eastAsia="ＭＳ ゴシック" w:hAnsi="ＭＳ ゴシック"/>
                <w:szCs w:val="21"/>
              </w:rPr>
              <w:t>可燃性ガス、酸素又は三フッ化窒素の充てん容器等を車両に積載して移動するときは、消火設備並びに災害発生防止のための応急措置に必要な資材及び工具等を携行すること。ただし、容器の内容積が二十リットル以下である充てん容器等のみを積載した車両であつて、当該積載容器の内容積の合計が四十リットル以下である場合にあつては、この限りでない。</w:t>
            </w:r>
          </w:p>
        </w:tc>
        <w:tc>
          <w:tcPr>
            <w:tcW w:w="1773" w:type="dxa"/>
          </w:tcPr>
          <w:p w:rsidR="00073C39" w:rsidRPr="00376DC2" w:rsidRDefault="00073C39" w:rsidP="00E70D39">
            <w:pPr>
              <w:ind w:leftChars="-60" w:left="-126" w:rightChars="-47" w:right="-99"/>
              <w:rPr>
                <w:rFonts w:ascii="ＭＳ ゴシック" w:eastAsia="ＭＳ ゴシック" w:hAnsi="ＭＳ ゴシック" w:hint="eastAsia"/>
                <w:szCs w:val="21"/>
              </w:rPr>
            </w:pPr>
          </w:p>
        </w:tc>
      </w:tr>
      <w:tr w:rsidR="00073C39" w:rsidRPr="00376DC2" w:rsidTr="00E70D39">
        <w:tblPrEx>
          <w:tblCellMar>
            <w:top w:w="0" w:type="dxa"/>
            <w:bottom w:w="0" w:type="dxa"/>
          </w:tblCellMar>
        </w:tblPrEx>
        <w:trPr>
          <w:cantSplit/>
        </w:trPr>
        <w:tc>
          <w:tcPr>
            <w:tcW w:w="1077"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９号</w:t>
            </w:r>
          </w:p>
        </w:tc>
        <w:tc>
          <w:tcPr>
            <w:tcW w:w="1999" w:type="dxa"/>
          </w:tcPr>
          <w:p w:rsidR="00073C39" w:rsidRPr="00376DC2" w:rsidRDefault="00073C39" w:rsidP="00E70D39">
            <w:pPr>
              <w:rPr>
                <w:rFonts w:ascii="ＭＳ ゴシック" w:eastAsia="ＭＳ ゴシック" w:hAnsi="ＭＳ ゴシック" w:hint="eastAsia"/>
                <w:szCs w:val="21"/>
              </w:rPr>
            </w:pPr>
            <w:r>
              <w:rPr>
                <w:rFonts w:ascii="ＭＳ ゴシック" w:eastAsia="ＭＳ ゴシック" w:hAnsi="ＭＳ ゴシック" w:hint="eastAsia"/>
                <w:szCs w:val="21"/>
              </w:rPr>
              <w:t>毒性ガスの保護具等</w:t>
            </w:r>
          </w:p>
        </w:tc>
        <w:tc>
          <w:tcPr>
            <w:tcW w:w="4871" w:type="dxa"/>
          </w:tcPr>
          <w:p w:rsidR="00073C39" w:rsidRPr="00376DC2" w:rsidRDefault="00073C39" w:rsidP="00E70D39">
            <w:pPr>
              <w:ind w:firstLineChars="100" w:firstLine="210"/>
              <w:rPr>
                <w:rFonts w:ascii="ＭＳ ゴシック" w:eastAsia="ＭＳ ゴシック" w:hAnsi="ＭＳ ゴシック" w:hint="eastAsia"/>
                <w:szCs w:val="21"/>
              </w:rPr>
            </w:pPr>
            <w:r w:rsidRPr="00376DC2">
              <w:rPr>
                <w:rFonts w:ascii="ＭＳ ゴシック" w:eastAsia="ＭＳ ゴシック" w:hAnsi="ＭＳ ゴシック"/>
                <w:szCs w:val="21"/>
              </w:rPr>
              <w:t>毒性ガスの充てん容器等を車両に積載して移動するときは、当該毒性ガスの種類に応じた防毒マスク、手袋その他の保護具並びに災害発生防止のための応急措置に必要な資材、薬剤及び工具等を携行すること。</w:t>
            </w:r>
          </w:p>
        </w:tc>
        <w:tc>
          <w:tcPr>
            <w:tcW w:w="1773" w:type="dxa"/>
          </w:tcPr>
          <w:p w:rsidR="00073C39" w:rsidRPr="00376DC2" w:rsidRDefault="00073C39" w:rsidP="00E70D39">
            <w:pPr>
              <w:rPr>
                <w:rFonts w:ascii="ＭＳ ゴシック" w:eastAsia="ＭＳ ゴシック" w:hAnsi="ＭＳ ゴシック" w:hint="eastAsia"/>
                <w:szCs w:val="21"/>
              </w:rPr>
            </w:pPr>
          </w:p>
        </w:tc>
      </w:tr>
      <w:tr w:rsidR="00073C39" w:rsidRPr="00376DC2" w:rsidTr="00E70D39">
        <w:tblPrEx>
          <w:tblCellMar>
            <w:top w:w="0" w:type="dxa"/>
            <w:bottom w:w="0" w:type="dxa"/>
          </w:tblCellMar>
        </w:tblPrEx>
        <w:trPr>
          <w:cantSplit/>
        </w:trPr>
        <w:tc>
          <w:tcPr>
            <w:tcW w:w="1077"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１０号</w:t>
            </w:r>
          </w:p>
        </w:tc>
        <w:tc>
          <w:tcPr>
            <w:tcW w:w="1999" w:type="dxa"/>
          </w:tcPr>
          <w:p w:rsidR="00073C39" w:rsidRPr="00376DC2" w:rsidRDefault="00073C39" w:rsidP="00E70D39">
            <w:pPr>
              <w:rPr>
                <w:rFonts w:ascii="ＭＳ ゴシック" w:eastAsia="ＭＳ ゴシック" w:hAnsi="ＭＳ ゴシック" w:hint="eastAsia"/>
                <w:szCs w:val="21"/>
              </w:rPr>
            </w:pPr>
            <w:r>
              <w:rPr>
                <w:rFonts w:ascii="ＭＳ ゴシック" w:eastAsia="ＭＳ ゴシック" w:hAnsi="ＭＳ ゴシック" w:hint="eastAsia"/>
                <w:szCs w:val="21"/>
              </w:rPr>
              <w:t>除外の措置</w:t>
            </w:r>
          </w:p>
        </w:tc>
        <w:tc>
          <w:tcPr>
            <w:tcW w:w="4871" w:type="dxa"/>
          </w:tcPr>
          <w:p w:rsidR="00073C39" w:rsidRPr="00376DC2" w:rsidRDefault="00073C39" w:rsidP="00E70D39">
            <w:pPr>
              <w:ind w:firstLineChars="100" w:firstLine="210"/>
              <w:rPr>
                <w:rFonts w:ascii="ＭＳ ゴシック" w:eastAsia="ＭＳ ゴシック" w:hAnsi="ＭＳ ゴシック" w:hint="eastAsia"/>
                <w:szCs w:val="21"/>
              </w:rPr>
            </w:pPr>
            <w:r w:rsidRPr="00376DC2">
              <w:rPr>
                <w:rFonts w:ascii="ＭＳ ゴシック" w:eastAsia="ＭＳ ゴシック" w:hAnsi="ＭＳ ゴシック"/>
                <w:szCs w:val="21"/>
              </w:rPr>
              <w:t>アルシン又はセレン化水素を移動する車両には、当該ガスが漏えいしたときの除害の措置を講ずること。</w:t>
            </w:r>
          </w:p>
        </w:tc>
        <w:tc>
          <w:tcPr>
            <w:tcW w:w="1773" w:type="dxa"/>
          </w:tcPr>
          <w:p w:rsidR="00073C39" w:rsidRPr="00376DC2" w:rsidRDefault="00073C39" w:rsidP="00E70D39">
            <w:pPr>
              <w:ind w:leftChars="-60" w:left="-126" w:rightChars="-47" w:right="-99"/>
              <w:rPr>
                <w:rFonts w:ascii="ＭＳ ゴシック" w:eastAsia="ＭＳ ゴシック" w:hAnsi="ＭＳ ゴシック" w:hint="eastAsia"/>
                <w:szCs w:val="21"/>
              </w:rPr>
            </w:pPr>
          </w:p>
        </w:tc>
      </w:tr>
      <w:tr w:rsidR="00073C39" w:rsidRPr="00376DC2" w:rsidTr="00E70D39">
        <w:tblPrEx>
          <w:tblCellMar>
            <w:top w:w="0" w:type="dxa"/>
            <w:bottom w:w="0" w:type="dxa"/>
          </w:tblCellMar>
        </w:tblPrEx>
        <w:trPr>
          <w:cantSplit/>
        </w:trPr>
        <w:tc>
          <w:tcPr>
            <w:tcW w:w="1077"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１１号</w:t>
            </w:r>
          </w:p>
        </w:tc>
        <w:tc>
          <w:tcPr>
            <w:tcW w:w="1999" w:type="dxa"/>
          </w:tcPr>
          <w:p w:rsidR="00073C39" w:rsidRPr="00376DC2" w:rsidRDefault="00073C39" w:rsidP="00E70D39">
            <w:pPr>
              <w:rPr>
                <w:rFonts w:ascii="ＭＳ ゴシック" w:eastAsia="ＭＳ ゴシック" w:hAnsi="ＭＳ ゴシック" w:hint="eastAsia"/>
                <w:szCs w:val="21"/>
              </w:rPr>
            </w:pPr>
            <w:r>
              <w:rPr>
                <w:rFonts w:ascii="ＭＳ ゴシック" w:eastAsia="ＭＳ ゴシック" w:hAnsi="ＭＳ ゴシック" w:hint="eastAsia"/>
                <w:szCs w:val="21"/>
              </w:rPr>
              <w:t>駐車時の措置</w:t>
            </w:r>
          </w:p>
        </w:tc>
        <w:tc>
          <w:tcPr>
            <w:tcW w:w="4871" w:type="dxa"/>
          </w:tcPr>
          <w:p w:rsidR="00073C39" w:rsidRPr="00376DC2" w:rsidRDefault="00073C39" w:rsidP="00E70D39">
            <w:pPr>
              <w:ind w:firstLineChars="100" w:firstLine="210"/>
              <w:rPr>
                <w:rFonts w:ascii="ＭＳ ゴシック" w:eastAsia="ＭＳ ゴシック" w:hAnsi="ＭＳ ゴシック" w:hint="eastAsia"/>
                <w:szCs w:val="21"/>
              </w:rPr>
            </w:pPr>
            <w:r w:rsidRPr="00376DC2">
              <w:rPr>
                <w:rFonts w:ascii="ＭＳ ゴシック" w:eastAsia="ＭＳ ゴシック" w:hAnsi="ＭＳ ゴシック"/>
                <w:szCs w:val="21"/>
              </w:rPr>
              <w:t>充てん容器等を車両に積載して移動する場合において、駐車するときは、当該充てん容器等の積み卸しを行うときを除き、第一種保安物件の近辺及び第二種保安物件が密集する地域を避けるとともに、交通量が少ない安全な場所を選び、かつ、移動監視者又は運転者は食事その他やむを得ない場合を除き、当該車両を離れないこと。ただし、容器の内容積が二十リットル以下である充てん容器等（毒性ガスに係るものを除く。）のみを積載した車両であつて、当該積載容器の内容積の合計が四十リットル以下である場合にあつては、この限りでない。</w:t>
            </w:r>
          </w:p>
        </w:tc>
        <w:tc>
          <w:tcPr>
            <w:tcW w:w="1773" w:type="dxa"/>
          </w:tcPr>
          <w:p w:rsidR="00073C39" w:rsidRPr="00376DC2" w:rsidRDefault="00073C39" w:rsidP="00E70D39">
            <w:pPr>
              <w:ind w:leftChars="-60" w:left="-126" w:rightChars="-47" w:right="-99"/>
              <w:rPr>
                <w:rFonts w:ascii="ＭＳ ゴシック" w:eastAsia="ＭＳ ゴシック" w:hAnsi="ＭＳ ゴシック" w:hint="eastAsia"/>
                <w:szCs w:val="21"/>
              </w:rPr>
            </w:pPr>
          </w:p>
        </w:tc>
      </w:tr>
      <w:tr w:rsidR="00073C39" w:rsidRPr="00376DC2" w:rsidTr="00E70D39">
        <w:tblPrEx>
          <w:tblCellMar>
            <w:top w:w="0" w:type="dxa"/>
            <w:bottom w:w="0" w:type="dxa"/>
          </w:tblCellMar>
        </w:tblPrEx>
        <w:trPr>
          <w:cantSplit/>
        </w:trPr>
        <w:tc>
          <w:tcPr>
            <w:tcW w:w="1077"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lastRenderedPageBreak/>
              <w:t>１２号</w:t>
            </w:r>
          </w:p>
        </w:tc>
        <w:tc>
          <w:tcPr>
            <w:tcW w:w="1999" w:type="dxa"/>
          </w:tcPr>
          <w:p w:rsidR="00073C39" w:rsidRPr="00376DC2" w:rsidRDefault="00073C39" w:rsidP="00E70D39">
            <w:pPr>
              <w:rPr>
                <w:rFonts w:ascii="ＭＳ ゴシック" w:eastAsia="ＭＳ ゴシック" w:hAnsi="ＭＳ ゴシック" w:hint="eastAsia"/>
                <w:szCs w:val="21"/>
              </w:rPr>
            </w:pPr>
            <w:r>
              <w:rPr>
                <w:rFonts w:ascii="ＭＳ ゴシック" w:eastAsia="ＭＳ ゴシック" w:hAnsi="ＭＳ ゴシック" w:hint="eastAsia"/>
                <w:szCs w:val="21"/>
              </w:rPr>
              <w:t>準用規定①</w:t>
            </w:r>
          </w:p>
        </w:tc>
        <w:tc>
          <w:tcPr>
            <w:tcW w:w="4871" w:type="dxa"/>
          </w:tcPr>
          <w:p w:rsidR="00073C39" w:rsidRPr="00376DC2" w:rsidRDefault="00073C39" w:rsidP="00E70D39">
            <w:pPr>
              <w:ind w:firstLineChars="100" w:firstLine="210"/>
              <w:rPr>
                <w:rFonts w:ascii="ＭＳ ゴシック" w:eastAsia="ＭＳ ゴシック" w:hAnsi="ＭＳ ゴシック" w:hint="eastAsia"/>
                <w:szCs w:val="21"/>
              </w:rPr>
            </w:pPr>
            <w:r w:rsidRPr="00376DC2">
              <w:rPr>
                <w:rFonts w:ascii="ＭＳ ゴシック" w:eastAsia="ＭＳ ゴシック" w:hAnsi="ＭＳ ゴシック"/>
                <w:szCs w:val="21"/>
              </w:rPr>
              <w:t>前条第一項第十七号に掲げる高圧ガスを移動するとき（当該ガスの充てん容器等を車両に積載して移動するときに限る。）は、同項第十七号から第二十号までの基準を準用する。この場合において、同項第二十号ロ中「容器を固定した車両」とあるのは「当該ガスの充てん容器等を積載した車両」と読み替えるものとする。</w:t>
            </w:r>
          </w:p>
        </w:tc>
        <w:tc>
          <w:tcPr>
            <w:tcW w:w="1773" w:type="dxa"/>
          </w:tcPr>
          <w:p w:rsidR="00073C39" w:rsidRPr="00376DC2" w:rsidRDefault="00073C39" w:rsidP="00E70D39">
            <w:pPr>
              <w:ind w:leftChars="-60" w:left="-126" w:rightChars="-47" w:right="-99"/>
              <w:rPr>
                <w:rFonts w:ascii="ＭＳ ゴシック" w:eastAsia="ＭＳ ゴシック" w:hAnsi="ＭＳ ゴシック" w:hint="eastAsia"/>
                <w:szCs w:val="21"/>
              </w:rPr>
            </w:pPr>
          </w:p>
        </w:tc>
      </w:tr>
      <w:tr w:rsidR="00073C39" w:rsidRPr="00376DC2" w:rsidTr="00E70D39">
        <w:tblPrEx>
          <w:tblCellMar>
            <w:top w:w="0" w:type="dxa"/>
            <w:bottom w:w="0" w:type="dxa"/>
          </w:tblCellMar>
        </w:tblPrEx>
        <w:trPr>
          <w:cantSplit/>
        </w:trPr>
        <w:tc>
          <w:tcPr>
            <w:tcW w:w="1077"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１３号</w:t>
            </w:r>
          </w:p>
        </w:tc>
        <w:tc>
          <w:tcPr>
            <w:tcW w:w="1999" w:type="dxa"/>
          </w:tcPr>
          <w:p w:rsidR="00073C39" w:rsidRPr="00376DC2" w:rsidRDefault="00073C39" w:rsidP="00E70D39">
            <w:pPr>
              <w:rPr>
                <w:rFonts w:ascii="ＭＳ ゴシック" w:eastAsia="ＭＳ ゴシック" w:hAnsi="ＭＳ ゴシック" w:hint="eastAsia"/>
                <w:szCs w:val="21"/>
              </w:rPr>
            </w:pPr>
            <w:r>
              <w:rPr>
                <w:rFonts w:ascii="ＭＳ ゴシック" w:eastAsia="ＭＳ ゴシック" w:hAnsi="ＭＳ ゴシック" w:hint="eastAsia"/>
                <w:szCs w:val="21"/>
              </w:rPr>
              <w:t>準用規定②</w:t>
            </w:r>
          </w:p>
        </w:tc>
        <w:tc>
          <w:tcPr>
            <w:tcW w:w="4871" w:type="dxa"/>
          </w:tcPr>
          <w:p w:rsidR="00073C39" w:rsidRPr="00376DC2" w:rsidRDefault="00073C39" w:rsidP="00E70D39">
            <w:pPr>
              <w:rPr>
                <w:rFonts w:ascii="ＭＳ ゴシック" w:eastAsia="ＭＳ ゴシック" w:hAnsi="ＭＳ ゴシック" w:hint="eastAsia"/>
                <w:szCs w:val="21"/>
              </w:rPr>
            </w:pPr>
            <w:r w:rsidRPr="00376DC2">
              <w:rPr>
                <w:rFonts w:ascii="ＭＳ ゴシック" w:eastAsia="ＭＳ ゴシック" w:hAnsi="ＭＳ ゴシック"/>
                <w:szCs w:val="21"/>
              </w:rPr>
              <w:t>前条第一項第二十一号に規定する高圧ガスを移動するとき（当該容器を車両に積載して移動するときに限る。）は、同号の基準を準用する。ただし、容器の内容積が二十リットル以下である充てん容器等（毒性ガスに係るものを除き、高圧ガス移動時の注意事項を示したラベルが貼付されているものに限る。）のみを積載した車両であつて、当該積載容器の内容積の合計が四十リットル以下である場合にあつては、この限りでない</w:t>
            </w:r>
            <w:r w:rsidRPr="00376DC2">
              <w:rPr>
                <w:rFonts w:ascii="ＭＳ ゴシック" w:eastAsia="ＭＳ ゴシック" w:hAnsi="ＭＳ ゴシック" w:hint="eastAsia"/>
                <w:szCs w:val="21"/>
              </w:rPr>
              <w:t>。</w:t>
            </w:r>
          </w:p>
        </w:tc>
        <w:tc>
          <w:tcPr>
            <w:tcW w:w="1773" w:type="dxa"/>
          </w:tcPr>
          <w:p w:rsidR="00073C39" w:rsidRPr="00376DC2" w:rsidRDefault="00073C39" w:rsidP="00E70D39">
            <w:pPr>
              <w:ind w:leftChars="-60" w:left="-126" w:rightChars="-47" w:right="-99"/>
              <w:rPr>
                <w:rFonts w:ascii="ＭＳ ゴシック" w:eastAsia="ＭＳ ゴシック" w:hAnsi="ＭＳ ゴシック" w:hint="eastAsia"/>
                <w:szCs w:val="21"/>
              </w:rPr>
            </w:pPr>
          </w:p>
        </w:tc>
      </w:tr>
    </w:tbl>
    <w:p w:rsidR="00073C39" w:rsidRDefault="00073C39" w:rsidP="00073C39">
      <w:pPr>
        <w:ind w:leftChars="-171" w:left="-359" w:rightChars="-85" w:right="-178"/>
        <w:jc w:val="center"/>
        <w:rPr>
          <w:rFonts w:ascii="ＭＳ ゴシック" w:eastAsia="ＭＳ ゴシック" w:hAnsi="ＭＳ ゴシック"/>
          <w:sz w:val="24"/>
        </w:rPr>
      </w:pPr>
    </w:p>
    <w:p w:rsidR="00884FBD" w:rsidRPr="00073C39" w:rsidRDefault="00884FBD">
      <w:bookmarkStart w:id="0" w:name="_GoBack"/>
      <w:bookmarkEnd w:id="0"/>
    </w:p>
    <w:sectPr w:rsidR="00884FBD" w:rsidRPr="00073C39">
      <w:footerReference w:type="even" r:id="rId6"/>
      <w:footerReference w:type="default" r:id="rId7"/>
      <w:pgSz w:w="11906" w:h="16838"/>
      <w:pgMar w:top="720" w:right="1286" w:bottom="900" w:left="1260" w:header="851" w:footer="992"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855B2" w:rsidRDefault="00E855B2" w:rsidP="00C26180">
      <w:r>
        <w:separator/>
      </w:r>
    </w:p>
  </w:endnote>
  <w:endnote w:type="continuationSeparator" w:id="0">
    <w:p w:rsidR="00E855B2" w:rsidRDefault="00E855B2" w:rsidP="00C261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embedRegular r:id="rId1" w:fontKey="{CEBDF8AB-46A1-446A-BB77-695C22D28A4C}"/>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embedRegular r:id="rId2" w:fontKey="{A41A980C-9662-4EEC-9062-6D7645DDB1A0}"/>
  </w:font>
  <w:font w:name="ＭＳ ゴシック">
    <w:altName w:val="MS Gothic"/>
    <w:panose1 w:val="020B0609070205080204"/>
    <w:charset w:val="80"/>
    <w:family w:val="modern"/>
    <w:pitch w:val="fixed"/>
    <w:sig w:usb0="E00002FF" w:usb1="6AC7FDFB" w:usb2="08000012" w:usb3="00000000" w:csb0="0002009F" w:csb1="00000000"/>
    <w:embedRegular r:id="rId3" w:subsetted="1" w:fontKey="{CB4F7887-963F-45B5-B3EF-A4B536AACDD7}"/>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embedRegular r:id="rId4" w:fontKey="{7002E23A-E6EF-4735-9878-AF2243FAB7CB}"/>
  </w:font>
  <w:font w:name="ＭＳ Ｐ明朝">
    <w:panose1 w:val="02020600040205080304"/>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528" w:rsidRDefault="00E855B2">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rsidR="001B1528" w:rsidRDefault="00E855B2">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528" w:rsidRDefault="00E855B2">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073C39">
      <w:rPr>
        <w:rStyle w:val="a7"/>
        <w:noProof/>
      </w:rPr>
      <w:t>1</w:t>
    </w:r>
    <w:r>
      <w:rPr>
        <w:rStyle w:val="a7"/>
      </w:rPr>
      <w:fldChar w:fldCharType="end"/>
    </w:r>
  </w:p>
  <w:p w:rsidR="001B1528" w:rsidRDefault="00E855B2">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855B2" w:rsidRDefault="00E855B2" w:rsidP="00C26180">
      <w:r>
        <w:separator/>
      </w:r>
    </w:p>
  </w:footnote>
  <w:footnote w:type="continuationSeparator" w:id="0">
    <w:p w:rsidR="00E855B2" w:rsidRDefault="00E855B2" w:rsidP="00C2618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embedSystemFonts/>
  <w:bordersDoNotSurroundHeader/>
  <w:bordersDoNotSurroundFooter/>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3C39"/>
    <w:rsid w:val="00073C39"/>
    <w:rsid w:val="00884FBD"/>
    <w:rsid w:val="00C26180"/>
    <w:rsid w:val="00CA2E3D"/>
    <w:rsid w:val="00E855B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1A56AE8B-64B9-49EE-AA6C-0CE8CE4761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73C39"/>
    <w:pPr>
      <w:widowControl w:val="0"/>
      <w:jc w:val="both"/>
    </w:pPr>
    <w:rPr>
      <w:rFonts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26180"/>
    <w:pPr>
      <w:tabs>
        <w:tab w:val="center" w:pos="4252"/>
        <w:tab w:val="right" w:pos="8504"/>
      </w:tabs>
      <w:snapToGrid w:val="0"/>
    </w:pPr>
    <w:rPr>
      <w:rFonts w:cstheme="minorBidi"/>
      <w:szCs w:val="22"/>
    </w:rPr>
  </w:style>
  <w:style w:type="character" w:customStyle="1" w:styleId="a4">
    <w:name w:val="ヘッダー (文字)"/>
    <w:basedOn w:val="a0"/>
    <w:link w:val="a3"/>
    <w:uiPriority w:val="99"/>
    <w:rsid w:val="00C26180"/>
  </w:style>
  <w:style w:type="paragraph" w:styleId="a5">
    <w:name w:val="footer"/>
    <w:basedOn w:val="a"/>
    <w:link w:val="a6"/>
    <w:unhideWhenUsed/>
    <w:rsid w:val="00C26180"/>
    <w:pPr>
      <w:tabs>
        <w:tab w:val="center" w:pos="4252"/>
        <w:tab w:val="right" w:pos="8504"/>
      </w:tabs>
      <w:snapToGrid w:val="0"/>
    </w:pPr>
    <w:rPr>
      <w:rFonts w:cstheme="minorBidi"/>
      <w:szCs w:val="22"/>
    </w:rPr>
  </w:style>
  <w:style w:type="character" w:customStyle="1" w:styleId="a6">
    <w:name w:val="フッター (文字)"/>
    <w:basedOn w:val="a0"/>
    <w:link w:val="a5"/>
    <w:uiPriority w:val="99"/>
    <w:rsid w:val="00C26180"/>
  </w:style>
  <w:style w:type="character" w:styleId="a7">
    <w:name w:val="page number"/>
    <w:basedOn w:val="a0"/>
    <w:semiHidden/>
    <w:rsid w:val="00073C3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oter" Target="foot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Times New Roman">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panose="02020603050405020304"/>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306</Words>
  <Characters>1749</Characters>
  <Application>Microsoft Office Word</Application>
  <DocSecurity>0</DocSecurity>
  <Lines>14</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oitapref</dc:creator>
  <cp:keywords/>
  <dc:description/>
  <cp:lastModifiedBy>oitapref</cp:lastModifiedBy>
  <cp:revision>1</cp:revision>
  <dcterms:created xsi:type="dcterms:W3CDTF">2022-11-29T09:11:00Z</dcterms:created>
  <dcterms:modified xsi:type="dcterms:W3CDTF">2022-11-29T09:12:00Z</dcterms:modified>
</cp:coreProperties>
</file>