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A1E2" w14:textId="77777777" w:rsidR="0086550B" w:rsidRPr="00CC1B06" w:rsidRDefault="0086550B">
      <w:pPr>
        <w:spacing w:line="242" w:lineRule="exact"/>
        <w:rPr>
          <w:rFonts w:hint="default"/>
          <w:color w:val="auto"/>
        </w:rPr>
      </w:pPr>
      <w:r w:rsidRPr="00CC1B06">
        <w:rPr>
          <w:color w:val="auto"/>
        </w:rPr>
        <w:t>記載要領</w:t>
      </w:r>
    </w:p>
    <w:p w14:paraId="0C0D5430" w14:textId="77777777" w:rsidR="0086550B" w:rsidRPr="00CC1B06" w:rsidRDefault="0086550B">
      <w:pPr>
        <w:spacing w:line="242" w:lineRule="exact"/>
        <w:ind w:left="385" w:hanging="192"/>
        <w:rPr>
          <w:rFonts w:hint="default"/>
          <w:color w:val="auto"/>
        </w:rPr>
      </w:pPr>
      <w:r w:rsidRPr="00CC1B06">
        <w:rPr>
          <w:color w:val="auto"/>
        </w:rPr>
        <w:t xml:space="preserve">１　</w:t>
      </w:r>
      <w:r w:rsidRPr="00CC1B06">
        <w:rPr>
          <w:color w:val="auto"/>
          <w:bdr w:val="single" w:sz="4" w:space="0" w:color="000000"/>
        </w:rPr>
        <w:t xml:space="preserve">　</w:t>
      </w:r>
      <w:r w:rsidRPr="00CC1B06">
        <w:rPr>
          <w:color w:val="auto"/>
          <w:spacing w:val="-3"/>
        </w:rPr>
        <w:t xml:space="preserve"> </w:t>
      </w:r>
      <w:r w:rsidRPr="00CC1B06">
        <w:rPr>
          <w:color w:val="auto"/>
          <w:bdr w:val="single" w:sz="4" w:space="0" w:color="000000"/>
        </w:rPr>
        <w:t xml:space="preserve">　</w:t>
      </w:r>
      <w:r w:rsidRPr="00CC1B06">
        <w:rPr>
          <w:color w:val="auto"/>
          <w:spacing w:val="-3"/>
        </w:rPr>
        <w:t xml:space="preserve"> </w:t>
      </w:r>
      <w:r w:rsidRPr="00CC1B06">
        <w:rPr>
          <w:color w:val="auto"/>
          <w:bdr w:val="single" w:sz="4" w:space="0" w:color="000000"/>
        </w:rPr>
        <w:t xml:space="preserve">　</w:t>
      </w:r>
      <w:r w:rsidRPr="00CC1B06">
        <w:rPr>
          <w:color w:val="auto"/>
          <w:spacing w:val="-3"/>
        </w:rPr>
        <w:t xml:space="preserve"> </w:t>
      </w:r>
      <w:r w:rsidRPr="00CC1B06">
        <w:rPr>
          <w:color w:val="auto"/>
          <w:bdr w:val="single" w:sz="4" w:space="0" w:color="000000"/>
        </w:rPr>
        <w:t xml:space="preserve">　</w:t>
      </w:r>
      <w:r w:rsidRPr="00CC1B06">
        <w:rPr>
          <w:color w:val="auto"/>
        </w:rPr>
        <w:t>で表示された枠（以下「カラム」という。）に記入する場合は、１カラムに１文字ずつ丁寧に、かつ、カラムからはみ出さないように数字を記入すること。例えば</w:t>
      </w:r>
      <w:r w:rsidRPr="00CC1B06">
        <w:rPr>
          <w:color w:val="auto"/>
          <w:bdr w:val="single" w:sz="4" w:space="0" w:color="000000"/>
        </w:rPr>
        <w:t xml:space="preserve">　</w:t>
      </w:r>
      <w:r w:rsidRPr="00CC1B06">
        <w:rPr>
          <w:color w:val="auto"/>
          <w:spacing w:val="-3"/>
        </w:rPr>
        <w:t xml:space="preserve"> </w:t>
      </w:r>
      <w:r w:rsidRPr="00CC1B06">
        <w:rPr>
          <w:color w:val="auto"/>
          <w:bdr w:val="single" w:sz="4" w:space="0" w:color="000000"/>
        </w:rPr>
        <w:t xml:space="preserve">　</w:t>
      </w:r>
      <w:r w:rsidRPr="00CC1B06">
        <w:rPr>
          <w:color w:val="auto"/>
          <w:spacing w:val="-3"/>
        </w:rPr>
        <w:t xml:space="preserve"> </w:t>
      </w:r>
      <w:r w:rsidRPr="00CC1B06">
        <w:rPr>
          <w:color w:val="auto"/>
          <w:bdr w:val="single" w:sz="4" w:space="0" w:color="000000"/>
        </w:rPr>
        <w:t>１</w:t>
      </w:r>
      <w:r w:rsidRPr="00CC1B06">
        <w:rPr>
          <w:color w:val="auto"/>
          <w:spacing w:val="-3"/>
        </w:rPr>
        <w:t xml:space="preserve"> </w:t>
      </w:r>
      <w:r w:rsidRPr="00CC1B06">
        <w:rPr>
          <w:color w:val="auto"/>
          <w:bdr w:val="single" w:sz="4" w:space="0" w:color="000000"/>
        </w:rPr>
        <w:t>２</w:t>
      </w:r>
      <w:r w:rsidRPr="00CC1B06">
        <w:rPr>
          <w:color w:val="auto"/>
        </w:rPr>
        <w:t>のように右詰めで記入すること。</w:t>
      </w:r>
    </w:p>
    <w:p w14:paraId="76637D4A" w14:textId="77777777" w:rsidR="0086550B" w:rsidRPr="00CC1B06" w:rsidRDefault="00EE7D34">
      <w:pPr>
        <w:spacing w:line="242" w:lineRule="exact"/>
        <w:ind w:left="385" w:hanging="192"/>
        <w:rPr>
          <w:rFonts w:hint="default"/>
          <w:color w:val="auto"/>
        </w:rPr>
      </w:pPr>
      <w:r w:rsidRPr="00CC1B06">
        <w:rPr>
          <w:color w:val="auto"/>
          <w:spacing w:val="-3"/>
        </w:rPr>
        <w:t>２</w:t>
      </w:r>
      <w:r w:rsidR="0086550B" w:rsidRPr="00CC1B06">
        <w:rPr>
          <w:color w:val="auto"/>
          <w:spacing w:val="-3"/>
        </w:rPr>
        <w:t xml:space="preserve">  </w:t>
      </w:r>
      <w:r w:rsidR="0086550B"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１</w:t>
      </w:r>
      <w:r w:rsidR="0086550B" w:rsidRPr="00CC1B06">
        <w:rPr>
          <w:color w:val="auto"/>
        </w:rPr>
        <w:t>「建設業退職金共済制度加入の有無」の欄は、審査基準日において、勤労者退職金共済機構との間で、特定業種退職金共済契約を締結している場合は「１」を、締結していない場合は「２」を記入すること。</w:t>
      </w:r>
    </w:p>
    <w:p w14:paraId="61CA8780" w14:textId="77777777" w:rsidR="0086550B" w:rsidRPr="00CC1B06" w:rsidRDefault="00EE7D34">
      <w:pPr>
        <w:spacing w:line="242" w:lineRule="exact"/>
        <w:ind w:left="385" w:hanging="192"/>
        <w:rPr>
          <w:rFonts w:hint="default"/>
          <w:color w:val="auto"/>
        </w:rPr>
      </w:pPr>
      <w:r w:rsidRPr="00CC1B06">
        <w:rPr>
          <w:color w:val="auto"/>
        </w:rPr>
        <w:t>３</w:t>
      </w:r>
      <w:r w:rsidR="0086550B" w:rsidRPr="00CC1B06">
        <w:rPr>
          <w:color w:val="auto"/>
        </w:rPr>
        <w:t xml:space="preserve">　</w:t>
      </w:r>
      <w:r w:rsidR="0086550B"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２</w:t>
      </w:r>
      <w:r w:rsidR="0086550B" w:rsidRPr="00CC1B06">
        <w:rPr>
          <w:color w:val="auto"/>
        </w:rPr>
        <w:t>「退職一時金制度若しくは企業年金制度導入の有無」の欄は、審査基準日において、次のいずれかに該当する場合は「１」を、いずれにも該当しない場合は「２」を記入すること。</w:t>
      </w:r>
    </w:p>
    <w:p w14:paraId="31BD3103" w14:textId="77777777" w:rsidR="0086550B" w:rsidRPr="00CC1B06" w:rsidRDefault="0086550B">
      <w:pPr>
        <w:spacing w:line="242" w:lineRule="exact"/>
        <w:ind w:left="385"/>
        <w:rPr>
          <w:rFonts w:hint="default"/>
          <w:color w:val="auto"/>
        </w:rPr>
      </w:pPr>
      <w:r w:rsidRPr="00CC1B06">
        <w:rPr>
          <w:color w:val="auto"/>
        </w:rPr>
        <w:t>(1)</w:t>
      </w:r>
      <w:r w:rsidRPr="00CC1B06">
        <w:rPr>
          <w:color w:val="auto"/>
          <w:spacing w:val="-3"/>
        </w:rPr>
        <w:t xml:space="preserve"> </w:t>
      </w:r>
      <w:r w:rsidRPr="00CC1B06">
        <w:rPr>
          <w:color w:val="auto"/>
        </w:rPr>
        <w:t>労働協約若しくは就業規則に退職手当の定めがあること又は退職手当に関する事項についての規則が定められていること。</w:t>
      </w:r>
    </w:p>
    <w:p w14:paraId="420E0F11" w14:textId="77777777" w:rsidR="0086550B" w:rsidRPr="00CC1B06" w:rsidRDefault="0086550B">
      <w:pPr>
        <w:spacing w:line="242" w:lineRule="exact"/>
        <w:ind w:left="481" w:hanging="96"/>
        <w:rPr>
          <w:rFonts w:hint="default"/>
          <w:color w:val="auto"/>
        </w:rPr>
      </w:pPr>
      <w:r w:rsidRPr="00CC1B06">
        <w:rPr>
          <w:color w:val="auto"/>
        </w:rPr>
        <w:t>(2)</w:t>
      </w:r>
      <w:r w:rsidRPr="00CC1B06">
        <w:rPr>
          <w:color w:val="auto"/>
          <w:spacing w:val="-3"/>
        </w:rPr>
        <w:t xml:space="preserve"> </w:t>
      </w:r>
      <w:r w:rsidRPr="00CC1B06">
        <w:rPr>
          <w:color w:val="auto"/>
        </w:rPr>
        <w:t>勤労者退職金共済機構との間で特定業種退職金共済契約以外の退職金共済契約が締結されていること。</w:t>
      </w:r>
    </w:p>
    <w:p w14:paraId="3064C3E3" w14:textId="77777777" w:rsidR="0086550B" w:rsidRPr="00CC1B06" w:rsidRDefault="0086550B">
      <w:pPr>
        <w:spacing w:line="242" w:lineRule="exact"/>
        <w:ind w:left="481" w:hanging="96"/>
        <w:rPr>
          <w:rFonts w:hint="default"/>
          <w:color w:val="auto"/>
        </w:rPr>
      </w:pPr>
      <w:r w:rsidRPr="00CC1B06">
        <w:rPr>
          <w:color w:val="auto"/>
        </w:rPr>
        <w:t>(3)</w:t>
      </w:r>
      <w:r w:rsidRPr="00CC1B06">
        <w:rPr>
          <w:color w:val="auto"/>
          <w:spacing w:val="-3"/>
        </w:rPr>
        <w:t xml:space="preserve"> </w:t>
      </w:r>
      <w:r w:rsidRPr="00CC1B06">
        <w:rPr>
          <w:color w:val="auto"/>
        </w:rPr>
        <w:t>所得税法施行令に規定する特定退職金共済団体との間で退職金共済についての契約が締結されていること。</w:t>
      </w:r>
    </w:p>
    <w:p w14:paraId="24BBA499" w14:textId="77777777" w:rsidR="0086550B" w:rsidRPr="00CC1B06" w:rsidRDefault="0086550B">
      <w:pPr>
        <w:spacing w:line="242" w:lineRule="exact"/>
        <w:ind w:left="481" w:hanging="96"/>
        <w:rPr>
          <w:rFonts w:hint="default"/>
          <w:color w:val="auto"/>
        </w:rPr>
      </w:pPr>
      <w:r w:rsidRPr="00CC1B06">
        <w:rPr>
          <w:color w:val="auto"/>
        </w:rPr>
        <w:t>(4)</w:t>
      </w:r>
      <w:r w:rsidRPr="00CC1B06">
        <w:rPr>
          <w:color w:val="auto"/>
          <w:spacing w:val="-3"/>
        </w:rPr>
        <w:t xml:space="preserve"> </w:t>
      </w:r>
      <w:r w:rsidRPr="00CC1B06">
        <w:rPr>
          <w:color w:val="auto"/>
        </w:rPr>
        <w:t>厚生年金基金が設立されていること。</w:t>
      </w:r>
    </w:p>
    <w:p w14:paraId="4DA63FD9" w14:textId="77777777" w:rsidR="0086550B" w:rsidRPr="00CC1B06" w:rsidRDefault="0086550B">
      <w:pPr>
        <w:spacing w:line="242" w:lineRule="exact"/>
        <w:ind w:left="481" w:hanging="96"/>
        <w:rPr>
          <w:rFonts w:hint="default"/>
          <w:color w:val="auto"/>
        </w:rPr>
      </w:pPr>
      <w:r w:rsidRPr="00CC1B06">
        <w:rPr>
          <w:color w:val="auto"/>
        </w:rPr>
        <w:t>(5)</w:t>
      </w:r>
      <w:r w:rsidRPr="00CC1B06">
        <w:rPr>
          <w:color w:val="auto"/>
          <w:spacing w:val="-3"/>
        </w:rPr>
        <w:t xml:space="preserve"> </w:t>
      </w:r>
      <w:r w:rsidRPr="00CC1B06">
        <w:rPr>
          <w:color w:val="auto"/>
        </w:rPr>
        <w:t>法人税法に規定する適格退職年金の契約が締結されていること。</w:t>
      </w:r>
    </w:p>
    <w:p w14:paraId="7DEC3F7F" w14:textId="77777777" w:rsidR="0086550B" w:rsidRPr="00CC1B06" w:rsidRDefault="0086550B">
      <w:pPr>
        <w:spacing w:line="242" w:lineRule="exact"/>
        <w:ind w:left="385"/>
        <w:rPr>
          <w:rFonts w:hint="default"/>
          <w:color w:val="auto"/>
        </w:rPr>
      </w:pPr>
      <w:r w:rsidRPr="00CC1B06">
        <w:rPr>
          <w:color w:val="auto"/>
        </w:rPr>
        <w:t>(6)</w:t>
      </w:r>
      <w:r w:rsidRPr="00CC1B06">
        <w:rPr>
          <w:color w:val="auto"/>
          <w:spacing w:val="-3"/>
        </w:rPr>
        <w:t xml:space="preserve"> </w:t>
      </w:r>
      <w:r w:rsidRPr="00CC1B06">
        <w:rPr>
          <w:color w:val="auto"/>
        </w:rPr>
        <w:t>確定給付企業年金法（平成13年法律第50号）に規定する確定給付企業年金が導入されていること。</w:t>
      </w:r>
    </w:p>
    <w:p w14:paraId="6B4CD8E8" w14:textId="77777777" w:rsidR="0086550B" w:rsidRPr="00CC1B06" w:rsidRDefault="0086550B">
      <w:pPr>
        <w:spacing w:line="242" w:lineRule="exact"/>
        <w:ind w:left="385"/>
        <w:rPr>
          <w:rFonts w:hint="default"/>
          <w:color w:val="auto"/>
        </w:rPr>
      </w:pPr>
      <w:r w:rsidRPr="00CC1B06">
        <w:rPr>
          <w:color w:val="auto"/>
        </w:rPr>
        <w:t>(7)</w:t>
      </w:r>
      <w:r w:rsidRPr="00CC1B06">
        <w:rPr>
          <w:color w:val="auto"/>
          <w:spacing w:val="-3"/>
        </w:rPr>
        <w:t xml:space="preserve"> </w:t>
      </w:r>
      <w:r w:rsidRPr="00CC1B06">
        <w:rPr>
          <w:color w:val="auto"/>
        </w:rPr>
        <w:t>確定拠出年金法（平成13年法律第88号）に規定する企業型年金が導入されていること。</w:t>
      </w:r>
    </w:p>
    <w:p w14:paraId="7E2A1A2A" w14:textId="77777777" w:rsidR="0086550B" w:rsidRPr="00CC1B06" w:rsidRDefault="00EE7D34">
      <w:pPr>
        <w:spacing w:line="242" w:lineRule="exact"/>
        <w:ind w:left="385" w:hanging="192"/>
        <w:rPr>
          <w:rFonts w:hint="default"/>
          <w:color w:val="auto"/>
        </w:rPr>
      </w:pPr>
      <w:r w:rsidRPr="00CC1B06">
        <w:rPr>
          <w:color w:val="auto"/>
        </w:rPr>
        <w:t>４</w:t>
      </w:r>
      <w:r w:rsidR="0086550B" w:rsidRPr="00CC1B06">
        <w:rPr>
          <w:color w:val="auto"/>
        </w:rPr>
        <w:t xml:space="preserve">　</w:t>
      </w:r>
      <w:r w:rsidR="0086550B"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３</w:t>
      </w:r>
      <w:r w:rsidR="0086550B" w:rsidRPr="00CC1B06">
        <w:rPr>
          <w:color w:val="auto"/>
        </w:rPr>
        <w:t>「法定外労働災害補償制度加入の有無」の欄は、審査基準日において、</w:t>
      </w:r>
      <w:r w:rsidR="0086550B" w:rsidRPr="00CC1B06">
        <w:rPr>
          <w:color w:val="auto"/>
          <w:shd w:val="clear" w:color="FF0000" w:fill="auto"/>
        </w:rPr>
        <w:t>（</w:t>
      </w:r>
      <w:r w:rsidR="0086550B" w:rsidRPr="00CC1B06">
        <w:rPr>
          <w:color w:val="auto"/>
          <w:shd w:val="clear" w:color="222222" w:fill="auto"/>
        </w:rPr>
        <w:t>公</w:t>
      </w:r>
      <w:r w:rsidR="0086550B" w:rsidRPr="00CC1B06">
        <w:rPr>
          <w:color w:val="auto"/>
          <w:shd w:val="clear" w:color="FF0000" w:fill="auto"/>
        </w:rPr>
        <w:t>財）建設業福祉共済団、（</w:t>
      </w:r>
      <w:r w:rsidR="0086550B" w:rsidRPr="00CC1B06">
        <w:rPr>
          <w:color w:val="auto"/>
          <w:shd w:val="clear" w:color="222222" w:fill="auto"/>
        </w:rPr>
        <w:t>一</w:t>
      </w:r>
      <w:r w:rsidR="0086550B" w:rsidRPr="00CC1B06">
        <w:rPr>
          <w:color w:val="auto"/>
          <w:shd w:val="clear" w:color="FF0000" w:fill="auto"/>
        </w:rPr>
        <w:t>社）建設業労災互助会、</w:t>
      </w:r>
      <w:r w:rsidR="0086550B" w:rsidRPr="00CC1B06">
        <w:rPr>
          <w:color w:val="auto"/>
          <w:shd w:val="clear" w:color="222222" w:fill="auto"/>
        </w:rPr>
        <w:t>全日本火災共済協同組合連合会、（一社）全国労働保険事務組合連合会</w:t>
      </w:r>
      <w:r w:rsidR="0086550B" w:rsidRPr="00CC1B06">
        <w:rPr>
          <w:color w:val="auto"/>
        </w:rPr>
        <w:t>又は保険会社との間で、労働者災害補償保険法（昭和22年法律第50号）に基づく保険給付の基因となつた業務災害及び通勤災害（下請負人に係るものを含む。）に関する給付についての契約を、締結している場合は「１」を、締結していない場合は「２」を記入すること。</w:t>
      </w:r>
    </w:p>
    <w:p w14:paraId="303AAE07" w14:textId="77777777" w:rsidR="0086550B" w:rsidRPr="00CC1B06" w:rsidRDefault="00EE7D34">
      <w:pPr>
        <w:spacing w:line="242" w:lineRule="exact"/>
        <w:ind w:left="385" w:hanging="192"/>
        <w:rPr>
          <w:rFonts w:hint="default"/>
          <w:color w:val="auto"/>
        </w:rPr>
      </w:pPr>
      <w:r w:rsidRPr="00CC1B06">
        <w:rPr>
          <w:color w:val="auto"/>
        </w:rPr>
        <w:t>５</w:t>
      </w:r>
      <w:r w:rsidR="0086550B" w:rsidRPr="00CC1B06">
        <w:rPr>
          <w:color w:val="auto"/>
          <w:spacing w:val="-3"/>
        </w:rPr>
        <w:t xml:space="preserve">  </w:t>
      </w:r>
      <w:r w:rsidR="0086550B"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４</w:t>
      </w:r>
      <w:r w:rsidR="0086550B" w:rsidRPr="00CC1B06">
        <w:rPr>
          <w:color w:val="auto"/>
        </w:rPr>
        <w:t>「若年技術職員の継続的な育成及び確保」の欄は、審査基準日において、満35歳未満の技術職員の人数が技術職員の人数の合計の15％以上に該当する場合は「１」を、該当しない場合は「２」を記入すること。また、「技術職員数」の欄には別紙二の技術職員名簿に記載した技術職員の合計人数を、「若年技術職員数」の欄には、審査基準日において満35歳未満の技術職員の人数を、「若年技術職員の割合」の欄には「若年技術職員数」の欄に記載した数値を「技術職員数」の欄に記載した数値で除した数値を百分率で表し、記載すること。</w:t>
      </w:r>
    </w:p>
    <w:p w14:paraId="56330441" w14:textId="77777777" w:rsidR="0086550B" w:rsidRPr="00CC1B06" w:rsidRDefault="00EE7D34">
      <w:pPr>
        <w:spacing w:line="242" w:lineRule="exact"/>
        <w:ind w:left="385" w:hanging="192"/>
        <w:rPr>
          <w:rFonts w:hint="default"/>
          <w:color w:val="auto"/>
        </w:rPr>
      </w:pPr>
      <w:r w:rsidRPr="00CC1B06">
        <w:rPr>
          <w:color w:val="auto"/>
        </w:rPr>
        <w:t>６</w:t>
      </w:r>
      <w:r w:rsidR="0086550B" w:rsidRPr="00CC1B06">
        <w:rPr>
          <w:color w:val="auto"/>
          <w:spacing w:val="-3"/>
        </w:rPr>
        <w:t xml:space="preserve">  </w:t>
      </w:r>
      <w:r w:rsidR="0086550B"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５</w:t>
      </w:r>
      <w:r w:rsidR="0086550B" w:rsidRPr="00CC1B06">
        <w:rPr>
          <w:color w:val="auto"/>
        </w:rPr>
        <w:t>「新規若年技術職員の育成及び確保」の欄は、審査基準日において、満35歳未満の技術職員のうち、審査対象年内に新規に技術職員となつた人数が技術職員の人数の合計の１％以上に該当する場合は「１」を、該当しない場合は「２」を記入すること。また、「新規若年技術職員数」の欄には、別紙二の技術職員名簿に記載された技術職員のうち、「新規掲載者」欄に○が付され、審査基準日において満35歳未満のものの人数を、「新規若年技術職員の割合」欄には「新規若年技術職員数」の欄に記載した数値を前項「技術職員数」の欄に記載した数値で除した数値を百分率で表し、記載すること。</w:t>
      </w:r>
    </w:p>
    <w:p w14:paraId="7E3716EA" w14:textId="77777777" w:rsidR="0086550B" w:rsidRPr="00CC1B06" w:rsidRDefault="00EE7D34">
      <w:pPr>
        <w:spacing w:line="242" w:lineRule="exact"/>
        <w:ind w:left="385" w:hanging="192"/>
        <w:rPr>
          <w:rFonts w:hint="default"/>
          <w:color w:val="auto"/>
        </w:rPr>
      </w:pPr>
      <w:r w:rsidRPr="00CC1B06">
        <w:rPr>
          <w:color w:val="auto"/>
        </w:rPr>
        <w:t>７</w:t>
      </w:r>
      <w:r w:rsidR="0086550B" w:rsidRPr="00CC1B06">
        <w:rPr>
          <w:color w:val="auto"/>
        </w:rPr>
        <w:t xml:space="preserve">　</w:t>
      </w:r>
      <w:r w:rsidR="0086550B"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６</w:t>
      </w:r>
      <w:r w:rsidR="0086550B" w:rsidRPr="00CC1B06">
        <w:rPr>
          <w:color w:val="auto"/>
        </w:rPr>
        <w:t>「ＣＰＤ単位取得数」の欄は、「技術者数」の欄に記載した数に含まれる者が審査基準日以前１年のうちに取得したＣＰＤの単位数（ただし、算入できるＣＰＤ単位数は１人当たり30単位を上限とする。）を記載すること。また、「技術者数」の欄は、第７条の３第３号若しくは第18条の３第２項第１号に規定する者又は１級若しくは２級の第一次検定に合格した者（第18条の３第２項第１号に規定される者に該当する者を除く。）の数を記載すること。</w:t>
      </w:r>
    </w:p>
    <w:p w14:paraId="2276FF07" w14:textId="77777777" w:rsidR="0086550B" w:rsidRPr="00CC1B06" w:rsidRDefault="00EE7D34">
      <w:pPr>
        <w:spacing w:line="242" w:lineRule="exact"/>
        <w:ind w:left="385" w:hanging="192"/>
        <w:rPr>
          <w:rFonts w:hint="default"/>
          <w:color w:val="auto"/>
        </w:rPr>
      </w:pPr>
      <w:r w:rsidRPr="00CC1B06">
        <w:rPr>
          <w:color w:val="auto"/>
        </w:rPr>
        <w:t>８</w:t>
      </w:r>
      <w:r w:rsidR="0086550B" w:rsidRPr="00CC1B06">
        <w:rPr>
          <w:color w:val="auto"/>
        </w:rPr>
        <w:t xml:space="preserve">　</w:t>
      </w:r>
      <w:r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７</w:t>
      </w:r>
      <w:r w:rsidR="0086550B" w:rsidRPr="00CC1B06">
        <w:rPr>
          <w:color w:val="auto"/>
        </w:rPr>
        <w:t>「技能レベル向上者数」の欄は、「技能者数」の欄に記載した数に含まれる者が審査基準日以前３年のうちに国土交通大臣が定める建設技能者の能力評価制度により受けた評価（以下この</w:t>
      </w:r>
      <w:r w:rsidR="00EF1322" w:rsidRPr="00CC1B06">
        <w:rPr>
          <w:color w:val="auto"/>
        </w:rPr>
        <w:t>８</w:t>
      </w:r>
      <w:r w:rsidR="0086550B" w:rsidRPr="00CC1B06">
        <w:rPr>
          <w:color w:val="auto"/>
        </w:rPr>
        <w:t>において「認定能力評価」という。）の区分が審査基準日の３年前の日において受けている評価の区分より１以上上位であつた技能者の数を記載すること。また、「技能者数」の欄は、審査基準日において審査基準日以前３年のうちに建設工事の施工に従事した者であつて第14条の２第２号チ又は同条第４号チに規定する建設工事に従事する者に該当する者の数から建設工事の施工の管理のみに従事した者の数を除いた数を、「控除対象者」欄は、審査基準日以前３年のうちに認定能力評価により評価が最上位の区分に該当するとされた者の数を記載することとする。</w:t>
      </w:r>
    </w:p>
    <w:p w14:paraId="4A22784C" w14:textId="77777777" w:rsidR="0086550B" w:rsidRPr="00CC1B06" w:rsidRDefault="00EE7D34">
      <w:pPr>
        <w:spacing w:line="242" w:lineRule="exact"/>
        <w:ind w:left="385" w:hanging="192"/>
        <w:rPr>
          <w:rFonts w:hint="default"/>
          <w:color w:val="auto"/>
        </w:rPr>
      </w:pPr>
      <w:r w:rsidRPr="00CC1B06">
        <w:rPr>
          <w:color w:val="auto"/>
        </w:rPr>
        <w:t>９</w:t>
      </w:r>
      <w:r w:rsidR="0086550B" w:rsidRPr="00CC1B06">
        <w:rPr>
          <w:color w:val="auto"/>
        </w:rPr>
        <w:t xml:space="preserve">　</w:t>
      </w:r>
      <w:r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８</w:t>
      </w:r>
      <w:r w:rsidR="0086550B" w:rsidRPr="00CC1B06">
        <w:rPr>
          <w:color w:val="auto"/>
        </w:rPr>
        <w:t>「女性の職業生活における活躍の推進に関する法律に基づく認定の状況」の欄は、審査基準日において、女性の職業生活における活躍の推進に関する法律（平成27年法律第64号）に基づく「えるぼし認定（第１段階目）」を受けている場合は「１」を、「えるぼし認定（第２段階目）」を受けている場合は「２」を、「えるぼし認定（第３段階目）」を受けている場合は「３」を、「プラチナえるぼし認定」を受けている場合は「４」を、いずれの認定も受けていない場合は「５」を記入すること。</w:t>
      </w:r>
    </w:p>
    <w:p w14:paraId="276DE3C3" w14:textId="77777777" w:rsidR="0086550B" w:rsidRPr="00CC1B06" w:rsidRDefault="00EE7D34">
      <w:pPr>
        <w:spacing w:line="242" w:lineRule="exact"/>
        <w:ind w:left="385" w:hanging="192"/>
        <w:rPr>
          <w:rFonts w:hint="default"/>
          <w:color w:val="auto"/>
        </w:rPr>
      </w:pPr>
      <w:r w:rsidRPr="00CC1B06">
        <w:rPr>
          <w:color w:val="auto"/>
        </w:rPr>
        <w:t>10</w:t>
      </w:r>
      <w:r w:rsidR="0086550B" w:rsidRPr="00CC1B06">
        <w:rPr>
          <w:color w:val="auto"/>
        </w:rPr>
        <w:t xml:space="preserve">　</w:t>
      </w:r>
      <w:r w:rsidRPr="00CC1B06">
        <w:rPr>
          <w:color w:val="auto"/>
          <w:bdr w:val="single" w:sz="4" w:space="0" w:color="000000"/>
        </w:rPr>
        <w:t>４</w:t>
      </w:r>
      <w:r w:rsidR="0086550B" w:rsidRPr="00CC1B06">
        <w:rPr>
          <w:color w:val="auto"/>
          <w:spacing w:val="-3"/>
        </w:rPr>
        <w:t xml:space="preserve"> </w:t>
      </w:r>
      <w:r w:rsidRPr="00CC1B06">
        <w:rPr>
          <w:color w:val="auto"/>
          <w:bdr w:val="single" w:sz="4" w:space="0" w:color="000000"/>
        </w:rPr>
        <w:t>９</w:t>
      </w:r>
      <w:r w:rsidR="0086550B" w:rsidRPr="00CC1B06">
        <w:rPr>
          <w:color w:val="auto"/>
        </w:rPr>
        <w:t>「次世代育成支援対策推進法に基づく認定の状況」の欄は、審査基準日において、次世代育成支援対策推進法（平成15年法律第120号）に基づく「くるみん認定」を受けている場合は「１」を、「トライくるみん認定」を受けている場合は「２」を、「プラチナくるみん認定」を受けている場合は「３」を、いずれの認定も受けていない場合は「４」を記入すること。</w:t>
      </w:r>
    </w:p>
    <w:p w14:paraId="3DC775C0" w14:textId="77777777" w:rsidR="0086550B" w:rsidRPr="00CC1B06" w:rsidRDefault="00EE7D34" w:rsidP="00EE7D34">
      <w:pPr>
        <w:spacing w:line="242" w:lineRule="exact"/>
        <w:ind w:left="385" w:hanging="192"/>
        <w:rPr>
          <w:rFonts w:hint="default"/>
          <w:color w:val="auto"/>
          <w:bdr w:val="single" w:sz="4" w:space="0" w:color="000000"/>
        </w:rPr>
      </w:pPr>
      <w:r w:rsidRPr="00CC1B06">
        <w:rPr>
          <w:color w:val="auto"/>
        </w:rPr>
        <w:t>11</w:t>
      </w:r>
      <w:r w:rsidR="0086550B" w:rsidRPr="00CC1B06">
        <w:rPr>
          <w:color w:val="auto"/>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０</w:t>
      </w:r>
      <w:r w:rsidR="0086550B" w:rsidRPr="00CC1B06">
        <w:rPr>
          <w:color w:val="auto"/>
        </w:rPr>
        <w:t>「青少年の雇用の促進等に関する法律に基づく認定の状況」の欄は、審査基準日において、青少年の雇用の促進等に関する法律（昭和45年法律第98号）に基づく「ユースエール認定」を受けている場合は「１」を、受けていない場合は「２」を記入すること。</w:t>
      </w:r>
    </w:p>
    <w:p w14:paraId="27FD0C49" w14:textId="77777777" w:rsidR="0086550B" w:rsidRPr="00CC1B06" w:rsidRDefault="00EE7D34">
      <w:pPr>
        <w:spacing w:line="242" w:lineRule="exact"/>
        <w:ind w:left="385" w:hanging="192"/>
        <w:rPr>
          <w:rFonts w:hint="default"/>
          <w:color w:val="auto"/>
        </w:rPr>
      </w:pPr>
      <w:r w:rsidRPr="00CC1B06">
        <w:rPr>
          <w:color w:val="auto"/>
        </w:rPr>
        <w:t>12</w:t>
      </w:r>
      <w:r w:rsidR="0086550B" w:rsidRPr="00CC1B06">
        <w:rPr>
          <w:color w:val="auto"/>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１</w:t>
      </w:r>
      <w:r w:rsidR="0086550B" w:rsidRPr="00CC1B06">
        <w:rPr>
          <w:color w:val="auto"/>
        </w:rPr>
        <w:t>「建設工事に従事する者の就業履歴を蓄積するために必要な措置の実施状況」の欄は、審査基準日以前１年のうちに発注者から直接請け負つた工事のうち、国土交通大臣が定める建設工事以外の全ての建設工事において建設工事に従事する者の就業履歴を蓄積するために必要な措置として国土交通大臣が定めるものを実施した場合は「１」を、国土交通大臣が定める公共工事以外の全ての公共工事において当該措置を実施した場合は「２」を、いずれにも該当しない場合は「３」を記入すること。</w:t>
      </w:r>
    </w:p>
    <w:p w14:paraId="31CD1593" w14:textId="77777777" w:rsidR="00EE7D34" w:rsidRPr="00CC1B06" w:rsidRDefault="00EE7D34">
      <w:pPr>
        <w:spacing w:line="242" w:lineRule="exact"/>
        <w:ind w:left="385" w:hanging="192"/>
        <w:rPr>
          <w:rFonts w:hint="default"/>
          <w:color w:val="auto"/>
        </w:rPr>
      </w:pPr>
      <w:r w:rsidRPr="00CC1B06">
        <w:rPr>
          <w:color w:val="auto"/>
        </w:rPr>
        <w:t xml:space="preserve">13　</w:t>
      </w:r>
      <w:r w:rsidRPr="00CC1B06">
        <w:rPr>
          <w:color w:val="auto"/>
          <w:bdr w:val="single" w:sz="4" w:space="0" w:color="auto"/>
        </w:rPr>
        <w:t>５</w:t>
      </w:r>
      <w:r w:rsidRPr="00CC1B06">
        <w:rPr>
          <w:color w:val="auto"/>
        </w:rPr>
        <w:t xml:space="preserve"> </w:t>
      </w:r>
      <w:r w:rsidRPr="00CC1B06">
        <w:rPr>
          <w:color w:val="auto"/>
          <w:bdr w:val="single" w:sz="4" w:space="0" w:color="auto"/>
        </w:rPr>
        <w:t>２</w:t>
      </w:r>
      <w:r w:rsidRPr="00CC1B06">
        <w:rPr>
          <w:color w:val="auto"/>
        </w:rPr>
        <w:t>「建設技能者を大切にする企業の自主宣言制度の宣言の有無」の欄は、</w:t>
      </w:r>
      <w:r w:rsidR="00EF1322" w:rsidRPr="00CC1B06">
        <w:rPr>
          <w:color w:val="auto"/>
        </w:rPr>
        <w:t>建設技能者を大切にする企業の自</w:t>
      </w:r>
      <w:r w:rsidR="00EF1322" w:rsidRPr="00CC1B06">
        <w:rPr>
          <w:color w:val="auto"/>
        </w:rPr>
        <w:lastRenderedPageBreak/>
        <w:t>主</w:t>
      </w:r>
      <w:r w:rsidRPr="00CC1B06">
        <w:rPr>
          <w:color w:val="auto"/>
        </w:rPr>
        <w:t>宣言を行</w:t>
      </w:r>
      <w:r w:rsidR="00504734">
        <w:rPr>
          <w:color w:val="auto"/>
        </w:rPr>
        <w:t>つ</w:t>
      </w:r>
      <w:r w:rsidRPr="00CC1B06">
        <w:rPr>
          <w:color w:val="auto"/>
        </w:rPr>
        <w:t>ている場合は「１」を、行</w:t>
      </w:r>
      <w:r w:rsidR="00504734">
        <w:rPr>
          <w:color w:val="auto"/>
        </w:rPr>
        <w:t>つ</w:t>
      </w:r>
      <w:r w:rsidRPr="00CC1B06">
        <w:rPr>
          <w:color w:val="auto"/>
        </w:rPr>
        <w:t>ていない場合は「２」を記入すること。</w:t>
      </w:r>
    </w:p>
    <w:p w14:paraId="23C18611" w14:textId="77777777" w:rsidR="0086550B" w:rsidRPr="00CC1B06" w:rsidRDefault="00EE7D34">
      <w:pPr>
        <w:spacing w:line="242" w:lineRule="exact"/>
        <w:ind w:left="385" w:hanging="192"/>
        <w:rPr>
          <w:rFonts w:hint="default"/>
          <w:color w:val="auto"/>
        </w:rPr>
      </w:pPr>
      <w:r w:rsidRPr="00CC1B06">
        <w:rPr>
          <w:color w:val="auto"/>
        </w:rPr>
        <w:t>14</w:t>
      </w:r>
      <w:r w:rsidR="0086550B" w:rsidRPr="00CC1B06">
        <w:rPr>
          <w:color w:val="auto"/>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３</w:t>
      </w:r>
      <w:r w:rsidR="0086550B" w:rsidRPr="00CC1B06">
        <w:rPr>
          <w:color w:val="auto"/>
        </w:rPr>
        <w:t>「営業年数」の欄は、審査基準日までの建設業の営業年数（建設業の許可又は登録を受けて営業を行つていた年数をいい、休業等の期間を除く。ただし、平成23年４月１日以降の申立てに係る再生手続開始の決定又は更生手続開始の決定を受け、かつ、再生手続終結の決定又は更生手続終結の決定を受けてから営業を行つていた年数をいい、休業等の期間を除く。）を記入し、表内の年号については不要のものを消すこと。</w:t>
      </w:r>
    </w:p>
    <w:p w14:paraId="5240EF99" w14:textId="77777777" w:rsidR="0086550B" w:rsidRPr="00CC1B06" w:rsidRDefault="00EE7D34">
      <w:pPr>
        <w:spacing w:line="242" w:lineRule="exact"/>
        <w:ind w:left="385" w:hanging="192"/>
        <w:rPr>
          <w:rFonts w:hint="default"/>
          <w:color w:val="auto"/>
        </w:rPr>
      </w:pPr>
      <w:r w:rsidRPr="00CC1B06">
        <w:rPr>
          <w:color w:val="auto"/>
        </w:rPr>
        <w:t>15</w:t>
      </w:r>
      <w:r w:rsidR="0086550B" w:rsidRPr="00CC1B06">
        <w:rPr>
          <w:color w:val="auto"/>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４</w:t>
      </w:r>
      <w:r w:rsidR="0086550B" w:rsidRPr="00CC1B06">
        <w:rPr>
          <w:color w:val="auto"/>
        </w:rPr>
        <w:t>「民事再生法又は会社更生法の適用の有無」の欄は、平成23年４月１日以降の申立てに係る再生手続開始の決定又は更生手続開始の決定を受け、かつ、再生手続終結の決定又は更生手続終結の決定を受けていない場合は「１」を、その他の場合は「２」を記入すること。</w:t>
      </w:r>
    </w:p>
    <w:p w14:paraId="2034ADFB" w14:textId="77777777" w:rsidR="0086550B" w:rsidRPr="00CC1B06" w:rsidRDefault="00EE7D34">
      <w:pPr>
        <w:spacing w:line="242" w:lineRule="exact"/>
        <w:ind w:left="385" w:hanging="192"/>
        <w:rPr>
          <w:rFonts w:hint="default"/>
          <w:color w:val="auto"/>
        </w:rPr>
      </w:pPr>
      <w:r w:rsidRPr="00CC1B06">
        <w:rPr>
          <w:color w:val="auto"/>
        </w:rPr>
        <w:t>16</w:t>
      </w:r>
      <w:r w:rsidR="0086550B" w:rsidRPr="00CC1B06">
        <w:rPr>
          <w:color w:val="auto"/>
          <w:spacing w:val="-3"/>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５</w:t>
      </w:r>
      <w:r w:rsidR="0086550B" w:rsidRPr="00CC1B06">
        <w:rPr>
          <w:color w:val="auto"/>
        </w:rPr>
        <w:t>「防災協定の締結の有無」の欄は、審査基準日において、国、特殊法人等（公共工事の入札及び契約の適正化の促進に関する法律第2条第1項に規定する特殊法人等）又は地方公共団体との間で、防災活動に関する協定を締結している場合は「１」を、締結していない場合は「２」を記入すること。</w:t>
      </w:r>
    </w:p>
    <w:p w14:paraId="20033128" w14:textId="77777777" w:rsidR="0086550B" w:rsidRPr="00CC1B06" w:rsidRDefault="00EE7D34">
      <w:pPr>
        <w:spacing w:line="242" w:lineRule="exact"/>
        <w:ind w:left="385" w:hanging="192"/>
        <w:rPr>
          <w:rFonts w:hint="default"/>
          <w:color w:val="auto"/>
        </w:rPr>
      </w:pPr>
      <w:r w:rsidRPr="00CC1B06">
        <w:rPr>
          <w:color w:val="auto"/>
        </w:rPr>
        <w:t>17</w:t>
      </w:r>
      <w:r w:rsidR="0086550B" w:rsidRPr="00CC1B06">
        <w:rPr>
          <w:color w:val="auto"/>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６</w:t>
      </w:r>
      <w:r w:rsidR="0086550B" w:rsidRPr="00CC1B06">
        <w:rPr>
          <w:color w:val="auto"/>
        </w:rPr>
        <w:t>「営業停止処分の有無」の欄は、審査対象年において、法第28条の規定による営業の停止を受けたことがある場合は「１」を、受けたことがない場合は「２」を記入すること。</w:t>
      </w:r>
    </w:p>
    <w:p w14:paraId="35817D22" w14:textId="77777777" w:rsidR="0086550B" w:rsidRPr="00CC1B06" w:rsidRDefault="00EE7D34">
      <w:pPr>
        <w:spacing w:line="242" w:lineRule="exact"/>
        <w:ind w:left="385" w:hanging="192"/>
        <w:rPr>
          <w:rFonts w:hint="default"/>
          <w:color w:val="auto"/>
        </w:rPr>
      </w:pPr>
      <w:r w:rsidRPr="00CC1B06">
        <w:rPr>
          <w:color w:val="auto"/>
        </w:rPr>
        <w:t>18</w:t>
      </w:r>
      <w:r w:rsidR="0086550B" w:rsidRPr="00CC1B06">
        <w:rPr>
          <w:color w:val="auto"/>
        </w:rPr>
        <w:t xml:space="preserve">　</w:t>
      </w:r>
      <w:r w:rsidR="0086550B"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７</w:t>
      </w:r>
      <w:r w:rsidR="0086550B" w:rsidRPr="00CC1B06">
        <w:rPr>
          <w:color w:val="auto"/>
        </w:rPr>
        <w:t>「指示処分の有無」の欄は、審査対象年において、法第28条の規定による指示を受けたことがある場合は「１」を、受けたことがない場合は「２」を記入すること。</w:t>
      </w:r>
    </w:p>
    <w:p w14:paraId="43AA64A2" w14:textId="77777777" w:rsidR="0086550B" w:rsidRPr="00CC1B06" w:rsidRDefault="00EE7D34">
      <w:pPr>
        <w:spacing w:line="242" w:lineRule="exact"/>
        <w:ind w:left="385" w:hanging="192"/>
        <w:rPr>
          <w:rFonts w:hint="default"/>
          <w:color w:val="auto"/>
        </w:rPr>
      </w:pPr>
      <w:r w:rsidRPr="00CC1B06">
        <w:rPr>
          <w:color w:val="auto"/>
        </w:rPr>
        <w:t>19</w:t>
      </w:r>
      <w:r w:rsidR="0086550B" w:rsidRPr="00CC1B06">
        <w:rPr>
          <w:color w:val="auto"/>
        </w:rPr>
        <w:t xml:space="preserve">　</w:t>
      </w:r>
      <w:r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８</w:t>
      </w:r>
      <w:r w:rsidR="0086550B" w:rsidRPr="00CC1B06">
        <w:rPr>
          <w:color w:val="auto"/>
        </w:rPr>
        <w:t>「監査の受審状況」の欄は、審査基準日において、会計監査人の設置を行つている場合は「１」を、会計参与の設置を行つている場合は「２」を、第18条の３第３項第２号イに該当する者、一級登録経理試験に合格した者であつて、合格した日の属する年度の翌年度の開始の日から起算して５年を経過しないもの、一級登録経理講習を受講した者であつて、合格した日の属する年度の翌年度の開始の日から起算して５年を経過しないもの又は第１８条の３第３項第２号ニに該当する者（一級の登録経理講習を受講した者と同等以上と認められる者に限る。）が経理処理の適正を確認した旨の書類に自らの署名を付したものを提出している場合は「３」を、いずれにも該当しない場合は「４」を記入すること。</w:t>
      </w:r>
    </w:p>
    <w:p w14:paraId="7AE3682D" w14:textId="77777777" w:rsidR="0086550B" w:rsidRPr="00CC1B06" w:rsidRDefault="00EE7D34">
      <w:pPr>
        <w:spacing w:line="242" w:lineRule="exact"/>
        <w:ind w:left="385" w:hanging="192"/>
        <w:rPr>
          <w:rFonts w:hint="default"/>
          <w:color w:val="auto"/>
        </w:rPr>
      </w:pPr>
      <w:r w:rsidRPr="00CC1B06">
        <w:rPr>
          <w:color w:val="auto"/>
        </w:rPr>
        <w:t>20</w:t>
      </w:r>
      <w:r w:rsidR="0086550B" w:rsidRPr="00CC1B06">
        <w:rPr>
          <w:color w:val="auto"/>
        </w:rPr>
        <w:t xml:space="preserve">　</w:t>
      </w:r>
      <w:r w:rsidRPr="00CC1B06">
        <w:rPr>
          <w:color w:val="auto"/>
          <w:bdr w:val="single" w:sz="4" w:space="0" w:color="000000"/>
        </w:rPr>
        <w:t>５</w:t>
      </w:r>
      <w:r w:rsidR="0086550B" w:rsidRPr="00CC1B06">
        <w:rPr>
          <w:color w:val="auto"/>
          <w:spacing w:val="-3"/>
        </w:rPr>
        <w:t xml:space="preserve"> </w:t>
      </w:r>
      <w:r w:rsidRPr="00CC1B06">
        <w:rPr>
          <w:color w:val="auto"/>
          <w:bdr w:val="single" w:sz="4" w:space="0" w:color="000000"/>
        </w:rPr>
        <w:t>９</w:t>
      </w:r>
      <w:r w:rsidR="0086550B" w:rsidRPr="00CC1B06">
        <w:rPr>
          <w:color w:val="auto"/>
        </w:rPr>
        <w:t>「公認会計士等の数」の欄は、第18条の３第３項第２号イに該当する者、一級登録経理試験に合格した者であつて、合格した日の属する年度の翌年度の開始の日から起算して５年を経過しないもの、一級登録経理講習を受講した者であつて、受講した日の属する年度の翌年度の開始の日から起算して５年を経過しないもの及び第</w:t>
      </w:r>
      <w:r w:rsidR="00E13183">
        <w:rPr>
          <w:color w:val="auto"/>
        </w:rPr>
        <w:t>18</w:t>
      </w:r>
      <w:r w:rsidR="0086550B" w:rsidRPr="00CC1B06">
        <w:rPr>
          <w:color w:val="auto"/>
        </w:rPr>
        <w:t>条の３第３項第２号ニに該当する者の人数の合計を記入すること。</w:t>
      </w:r>
    </w:p>
    <w:p w14:paraId="01207193" w14:textId="77777777" w:rsidR="0086550B" w:rsidRPr="00CC1B06" w:rsidRDefault="00EE7D34" w:rsidP="00EE7D34">
      <w:pPr>
        <w:spacing w:line="242" w:lineRule="exact"/>
        <w:ind w:left="385" w:hanging="192"/>
        <w:rPr>
          <w:rFonts w:hint="default"/>
          <w:color w:val="auto"/>
          <w:bdr w:val="single" w:sz="4" w:space="0" w:color="000000"/>
        </w:rPr>
      </w:pPr>
      <w:r w:rsidRPr="00CC1B06">
        <w:rPr>
          <w:color w:val="auto"/>
        </w:rPr>
        <w:t>21</w:t>
      </w:r>
      <w:r w:rsidR="0086550B" w:rsidRPr="00CC1B06">
        <w:rPr>
          <w:color w:val="auto"/>
        </w:rPr>
        <w:t xml:space="preserve">　</w:t>
      </w:r>
      <w:r w:rsidR="0086550B" w:rsidRPr="00CC1B06">
        <w:rPr>
          <w:color w:val="auto"/>
          <w:bdr w:val="single" w:sz="4" w:space="0" w:color="000000"/>
        </w:rPr>
        <w:t>６</w:t>
      </w:r>
      <w:r w:rsidR="0086550B" w:rsidRPr="00CC1B06">
        <w:rPr>
          <w:color w:val="auto"/>
          <w:spacing w:val="-3"/>
        </w:rPr>
        <w:t xml:space="preserve"> </w:t>
      </w:r>
      <w:r w:rsidRPr="00CC1B06">
        <w:rPr>
          <w:color w:val="auto"/>
          <w:bdr w:val="single" w:sz="4" w:space="0" w:color="000000"/>
        </w:rPr>
        <w:t>０</w:t>
      </w:r>
      <w:r w:rsidR="0086550B" w:rsidRPr="00CC1B06">
        <w:rPr>
          <w:color w:val="auto"/>
        </w:rPr>
        <w:t>「二級登録経理試験合格者等の数」の欄は、二級登録経理試験に合格した者であつて、合格した日の属する年度の翌年度の開始の日から起算して５年を経過しないもの、二級登録経理講習を受講した者であつて、受講した日の属する年度の翌年度の開始の日から起算して５年を超過しないもの又は第18条の３第３項第２号ニに該当する者（二級の登録経理講習を受講した者と同等以上と認められる者とされる者に限る。）の人数の合計を記入すること。</w:t>
      </w:r>
    </w:p>
    <w:p w14:paraId="54B1C52E" w14:textId="77777777" w:rsidR="0086550B" w:rsidRPr="00CC1B06" w:rsidRDefault="00EE7D34">
      <w:pPr>
        <w:spacing w:line="242" w:lineRule="exact"/>
        <w:ind w:left="385" w:hanging="192"/>
        <w:rPr>
          <w:rFonts w:hint="default"/>
          <w:color w:val="auto"/>
        </w:rPr>
      </w:pPr>
      <w:r w:rsidRPr="00CC1B06">
        <w:rPr>
          <w:color w:val="auto"/>
        </w:rPr>
        <w:t>22</w:t>
      </w:r>
      <w:r w:rsidR="0086550B" w:rsidRPr="00CC1B06">
        <w:rPr>
          <w:color w:val="auto"/>
        </w:rPr>
        <w:t xml:space="preserve">　</w:t>
      </w:r>
      <w:r w:rsidR="0086550B" w:rsidRPr="00CC1B06">
        <w:rPr>
          <w:color w:val="auto"/>
          <w:bdr w:val="single" w:sz="4" w:space="0" w:color="000000"/>
        </w:rPr>
        <w:t>６</w:t>
      </w:r>
      <w:r w:rsidR="0086550B" w:rsidRPr="00CC1B06">
        <w:rPr>
          <w:color w:val="auto"/>
          <w:spacing w:val="-3"/>
        </w:rPr>
        <w:t xml:space="preserve"> </w:t>
      </w:r>
      <w:r w:rsidRPr="00CC1B06">
        <w:rPr>
          <w:color w:val="auto"/>
          <w:bdr w:val="single" w:sz="4" w:space="0" w:color="000000"/>
        </w:rPr>
        <w:t>１</w:t>
      </w:r>
      <w:r w:rsidR="0086550B" w:rsidRPr="00CC1B06">
        <w:rPr>
          <w:color w:val="auto"/>
        </w:rPr>
        <w:t>「研究開発費（２期平均）」の欄は、審査対象事業年度及び審査対象事業年度の前審査対象事業年度における研究開発費の額の平均の額を記入すること。ただし、会計監査人設置会社以外の建設業者はカラムに「０」を記入すること。また、表内のカラムに審査対象事業年度及び審査対象事業年度の前審査対象事業年度における研究開発費の額を記入すること。</w:t>
      </w:r>
    </w:p>
    <w:p w14:paraId="42E65911" w14:textId="69E5F949" w:rsidR="0086550B" w:rsidRPr="00CC1B06" w:rsidRDefault="00EE7D34">
      <w:pPr>
        <w:spacing w:line="242" w:lineRule="exact"/>
        <w:ind w:left="385" w:hanging="192"/>
        <w:rPr>
          <w:rFonts w:hint="default"/>
          <w:color w:val="auto"/>
        </w:rPr>
      </w:pPr>
      <w:r w:rsidRPr="00CC1B06">
        <w:rPr>
          <w:color w:val="auto"/>
        </w:rPr>
        <w:t>23</w:t>
      </w:r>
      <w:r w:rsidR="0086550B" w:rsidRPr="00CC1B06">
        <w:rPr>
          <w:color w:val="auto"/>
          <w:spacing w:val="-3"/>
        </w:rPr>
        <w:t xml:space="preserve">  </w:t>
      </w:r>
      <w:r w:rsidR="0086550B" w:rsidRPr="00CC1B06">
        <w:rPr>
          <w:color w:val="auto"/>
          <w:bdr w:val="single" w:sz="4" w:space="0" w:color="000000"/>
        </w:rPr>
        <w:t>６</w:t>
      </w:r>
      <w:r w:rsidR="0086550B" w:rsidRPr="00CC1B06">
        <w:rPr>
          <w:color w:val="auto"/>
          <w:spacing w:val="-3"/>
        </w:rPr>
        <w:t xml:space="preserve"> </w:t>
      </w:r>
      <w:r w:rsidRPr="00CC1B06">
        <w:rPr>
          <w:color w:val="auto"/>
          <w:bdr w:val="single" w:sz="4" w:space="0" w:color="000000"/>
        </w:rPr>
        <w:t>２</w:t>
      </w:r>
      <w:r w:rsidR="0086550B" w:rsidRPr="00CC1B06">
        <w:rPr>
          <w:color w:val="auto"/>
        </w:rPr>
        <w:t>「建設機械の所有及びリース台数」の欄は、審査基準日において、自ら所有し、又はリース契約（審査基準日から１年７月以上の使用期間が定められているものに限る。）により使用する建設機械抵当法施行令（昭和29年政令第294号）別表に規定するショベル系掘削機、ブルドーザー、トラクターショベル及びモーターグレーダー、土砂等を運搬する貨物自動車であつて自動車検査証（道路運送車両法（昭和26年法律第185号）第60条第１項の自動車検査証をいう。</w:t>
      </w:r>
      <w:r w:rsidR="00B1086D">
        <w:rPr>
          <w:color w:val="auto"/>
        </w:rPr>
        <w:t>以下同じ。</w:t>
      </w:r>
      <w:r w:rsidR="0086550B" w:rsidRPr="00CC1B06">
        <w:rPr>
          <w:color w:val="auto"/>
        </w:rPr>
        <w:t>）の車体の形状の欄に「ダンプ」、「ダンプフルトレーラ」又は「ダンプセミトレーラ」と記載されているもの</w:t>
      </w:r>
      <w:r w:rsidRPr="00CC1B06">
        <w:rPr>
          <w:color w:val="auto"/>
        </w:rPr>
        <w:t>及び自動車検査証の車体の形状の欄に「アスファルト・フィニッシャ」と記載されている</w:t>
      </w:r>
      <w:r w:rsidR="00B1086D">
        <w:rPr>
          <w:color w:val="auto"/>
        </w:rPr>
        <w:t>大型特殊自動車</w:t>
      </w:r>
      <w:r w:rsidR="0086550B" w:rsidRPr="00CC1B06">
        <w:rPr>
          <w:color w:val="auto"/>
        </w:rPr>
        <w:t>並びに労働安全衛生法施行令（昭和47年政令第318号）第12条第１項第４号に掲げるつり上げ荷重が三トン以上の移動式クレーン、同令第13条第３項</w:t>
      </w:r>
      <w:r w:rsidRPr="00CC1B06">
        <w:rPr>
          <w:color w:val="auto"/>
        </w:rPr>
        <w:t>第33号に掲げる不整地運搬車、同項</w:t>
      </w:r>
      <w:r w:rsidR="0086550B" w:rsidRPr="00CC1B06">
        <w:rPr>
          <w:color w:val="auto"/>
        </w:rPr>
        <w:t>第34号に掲げる作業床の高さが二メートル以上の高所作業車、同令別表第７第４号に掲げる締固め用機械及び同表第６号に掲げる解体用機械について、台数の合計を記入すること。</w:t>
      </w:r>
    </w:p>
    <w:p w14:paraId="19F3C0F0" w14:textId="77777777" w:rsidR="0086550B" w:rsidRPr="00CC1B06" w:rsidRDefault="00EE7D34">
      <w:pPr>
        <w:spacing w:line="242" w:lineRule="exact"/>
        <w:ind w:left="385" w:hanging="192"/>
        <w:rPr>
          <w:rFonts w:hint="default"/>
          <w:color w:val="auto"/>
        </w:rPr>
      </w:pPr>
      <w:r w:rsidRPr="00CC1B06">
        <w:rPr>
          <w:color w:val="auto"/>
        </w:rPr>
        <w:t>24</w:t>
      </w:r>
      <w:r w:rsidR="0086550B" w:rsidRPr="00CC1B06">
        <w:rPr>
          <w:color w:val="auto"/>
          <w:spacing w:val="-3"/>
        </w:rPr>
        <w:t xml:space="preserve">  </w:t>
      </w:r>
      <w:r w:rsidR="0086550B" w:rsidRPr="00CC1B06">
        <w:rPr>
          <w:color w:val="auto"/>
          <w:bdr w:val="single" w:sz="4" w:space="0" w:color="000000"/>
        </w:rPr>
        <w:t>６</w:t>
      </w:r>
      <w:r w:rsidR="0086550B" w:rsidRPr="00CC1B06">
        <w:rPr>
          <w:color w:val="auto"/>
          <w:spacing w:val="-3"/>
        </w:rPr>
        <w:t xml:space="preserve"> </w:t>
      </w:r>
      <w:r w:rsidRPr="00CC1B06">
        <w:rPr>
          <w:color w:val="auto"/>
          <w:bdr w:val="single" w:sz="4" w:space="0" w:color="000000"/>
        </w:rPr>
        <w:t>３</w:t>
      </w:r>
      <w:r w:rsidR="0086550B" w:rsidRPr="00CC1B06">
        <w:rPr>
          <w:color w:val="auto"/>
        </w:rPr>
        <w:t>「エコアクション２１の認証の有無」の欄は、審査基準日において、エコアクション２１の認証を取得している場合（認証範囲に建設業が含まれていない場合及び認証範囲が一部の支店等に限られている場合を除く。）は「１」を、取得されていない場合は「２」を記入すること。</w:t>
      </w:r>
    </w:p>
    <w:p w14:paraId="373D6FE9" w14:textId="77777777" w:rsidR="0086550B" w:rsidRPr="00CC1B06" w:rsidRDefault="00EE7D34">
      <w:pPr>
        <w:spacing w:line="242" w:lineRule="exact"/>
        <w:ind w:left="385" w:hanging="192"/>
        <w:rPr>
          <w:rFonts w:hint="default"/>
          <w:color w:val="auto"/>
        </w:rPr>
      </w:pPr>
      <w:r w:rsidRPr="00CC1B06">
        <w:rPr>
          <w:color w:val="auto"/>
        </w:rPr>
        <w:t>25</w:t>
      </w:r>
      <w:r w:rsidR="0086550B" w:rsidRPr="00CC1B06">
        <w:rPr>
          <w:color w:val="auto"/>
          <w:spacing w:val="-3"/>
        </w:rPr>
        <w:t xml:space="preserve">  </w:t>
      </w:r>
      <w:r w:rsidR="0086550B" w:rsidRPr="00CC1B06">
        <w:rPr>
          <w:color w:val="auto"/>
          <w:bdr w:val="single" w:sz="4" w:space="0" w:color="000000"/>
        </w:rPr>
        <w:t>６</w:t>
      </w:r>
      <w:r w:rsidR="0086550B" w:rsidRPr="00CC1B06">
        <w:rPr>
          <w:color w:val="auto"/>
          <w:spacing w:val="-3"/>
        </w:rPr>
        <w:t xml:space="preserve"> </w:t>
      </w:r>
      <w:r w:rsidRPr="00CC1B06">
        <w:rPr>
          <w:color w:val="auto"/>
          <w:bdr w:val="single" w:sz="4" w:space="0" w:color="000000"/>
        </w:rPr>
        <w:t>４</w:t>
      </w:r>
      <w:r w:rsidR="0086550B" w:rsidRPr="00CC1B06">
        <w:rPr>
          <w:color w:val="auto"/>
        </w:rPr>
        <w:t>「ＩＳＯ９００１の登録の有無」の欄は、審査基準日において、国際標準化機構第９００１号の規格により登録されている場合（登録範囲に建設業が含まれていない場合及び登録範囲が一部の支店等に限られている場合を除く。）は「１」を、登録されていない場合は「２」を記入すること。</w:t>
      </w:r>
      <w:r w:rsidR="0086550B" w:rsidRPr="00CC1B06">
        <w:rPr>
          <w:color w:val="auto"/>
          <w:spacing w:val="-3"/>
        </w:rPr>
        <w:t xml:space="preserve">  </w:t>
      </w:r>
    </w:p>
    <w:p w14:paraId="4AFB0460" w14:textId="77777777" w:rsidR="0086550B" w:rsidRDefault="00EE7D34" w:rsidP="002A613B">
      <w:pPr>
        <w:spacing w:line="242" w:lineRule="exact"/>
        <w:ind w:left="385" w:hanging="192"/>
        <w:rPr>
          <w:rFonts w:hint="default"/>
          <w:color w:val="auto"/>
        </w:rPr>
      </w:pPr>
      <w:r w:rsidRPr="00CC1B06">
        <w:rPr>
          <w:color w:val="auto"/>
        </w:rPr>
        <w:t>26</w:t>
      </w:r>
      <w:r w:rsidR="0086550B" w:rsidRPr="00CC1B06">
        <w:rPr>
          <w:color w:val="auto"/>
          <w:spacing w:val="-3"/>
        </w:rPr>
        <w:t xml:space="preserve">  </w:t>
      </w:r>
      <w:r w:rsidR="0086550B" w:rsidRPr="00CC1B06">
        <w:rPr>
          <w:color w:val="auto"/>
          <w:bdr w:val="single" w:sz="4" w:space="0" w:color="000000"/>
        </w:rPr>
        <w:t>６</w:t>
      </w:r>
      <w:r w:rsidR="0086550B" w:rsidRPr="00CC1B06">
        <w:rPr>
          <w:color w:val="auto"/>
          <w:spacing w:val="-3"/>
        </w:rPr>
        <w:t xml:space="preserve"> </w:t>
      </w:r>
      <w:r w:rsidRPr="00CC1B06">
        <w:rPr>
          <w:color w:val="auto"/>
          <w:bdr w:val="single" w:sz="4" w:space="0" w:color="000000"/>
        </w:rPr>
        <w:t>５</w:t>
      </w:r>
      <w:r w:rsidR="0086550B" w:rsidRPr="00CC1B06">
        <w:rPr>
          <w:color w:val="auto"/>
        </w:rPr>
        <w:t>「ＩＳＯ１４００１の登録の有無」の欄は、審査基準日において、国際標準化機構第１４００１号の規格により登録されている場合（登録範囲に建設業が含まれていない場合及び登録範囲が一部の支店等に限られている場合を除く。）は「１」を、登録されていない場合は「２」を記入すること。</w:t>
      </w:r>
    </w:p>
    <w:p w14:paraId="1AE3C2B3" w14:textId="77777777" w:rsidR="00E13183" w:rsidRPr="00CC1B06" w:rsidRDefault="00E13183" w:rsidP="002A613B">
      <w:pPr>
        <w:spacing w:line="242" w:lineRule="exact"/>
        <w:ind w:left="385" w:hanging="192"/>
        <w:rPr>
          <w:rFonts w:hint="default"/>
          <w:color w:val="auto"/>
        </w:rPr>
      </w:pPr>
    </w:p>
    <w:p w14:paraId="2EB10F1E" w14:textId="77777777" w:rsidR="0086550B" w:rsidRPr="00CC1B06" w:rsidRDefault="0086550B">
      <w:pPr>
        <w:spacing w:line="242" w:lineRule="exact"/>
        <w:ind w:left="385" w:hanging="192"/>
        <w:rPr>
          <w:rFonts w:hint="default"/>
          <w:color w:val="auto"/>
        </w:rPr>
      </w:pPr>
      <w:r w:rsidRPr="00CC1B06">
        <w:rPr>
          <w:color w:val="auto"/>
        </w:rPr>
        <w:t xml:space="preserve">　　記入すべき金額は、千円未満の端数を切り捨てて表示すること。</w:t>
      </w:r>
    </w:p>
    <w:p w14:paraId="599DAD51" w14:textId="77777777" w:rsidR="0086550B" w:rsidRPr="00CC1B06" w:rsidRDefault="0086550B">
      <w:pPr>
        <w:spacing w:line="242" w:lineRule="exact"/>
        <w:ind w:left="385" w:hanging="192"/>
        <w:rPr>
          <w:rFonts w:hint="default"/>
          <w:color w:val="auto"/>
        </w:rPr>
      </w:pPr>
      <w:r w:rsidRPr="00CC1B06">
        <w:rPr>
          <w:color w:val="auto"/>
        </w:rPr>
        <w:t xml:space="preserve">　　ただし、会社法（平成17年法律第86号）第２条第６号に規定する大会社にあつては、百万円未満の端数を切り捨てて表示することができる。ただし、研究開発費（２期平均）を計算する際に生じる百万円未満の端数については切り捨てずにそのまま記入すること。</w:t>
      </w:r>
    </w:p>
    <w:p w14:paraId="110ED7D7" w14:textId="77777777" w:rsidR="0086550B" w:rsidRPr="00CC1B06" w:rsidRDefault="0086550B" w:rsidP="00CC1B06">
      <w:pPr>
        <w:spacing w:line="242" w:lineRule="exact"/>
        <w:ind w:left="385" w:hanging="192"/>
        <w:rPr>
          <w:rFonts w:hint="default"/>
          <w:color w:val="auto"/>
        </w:rPr>
      </w:pPr>
      <w:r w:rsidRPr="00CC1B06">
        <w:rPr>
          <w:color w:val="auto"/>
        </w:rPr>
        <w:t xml:space="preserve">　　記入すべき割合及び単位は、小数点第２位以下の端数を切り捨てて表示すること。</w:t>
      </w:r>
    </w:p>
    <w:sectPr w:rsidR="0086550B" w:rsidRPr="00CC1B06">
      <w:footnotePr>
        <w:numRestart w:val="eachPage"/>
      </w:footnotePr>
      <w:endnotePr>
        <w:numFmt w:val="decimal"/>
      </w:endnotePr>
      <w:pgSz w:w="11906" w:h="16838"/>
      <w:pgMar w:top="1191" w:right="850" w:bottom="850" w:left="850" w:header="1134" w:footer="0" w:gutter="0"/>
      <w:cols w:space="720"/>
      <w:docGrid w:type="linesAndChars" w:linePitch="242" w:charSpace="2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7193" w14:textId="77777777" w:rsidR="00AC1C24" w:rsidRDefault="00AC1C24">
      <w:pPr>
        <w:spacing w:before="387"/>
        <w:rPr>
          <w:rFonts w:hint="default"/>
        </w:rPr>
      </w:pPr>
      <w:r>
        <w:continuationSeparator/>
      </w:r>
    </w:p>
  </w:endnote>
  <w:endnote w:type="continuationSeparator" w:id="0">
    <w:p w14:paraId="54E9CE34" w14:textId="77777777" w:rsidR="00AC1C24" w:rsidRDefault="00AC1C24">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7AB4" w14:textId="77777777" w:rsidR="00AC1C24" w:rsidRDefault="00AC1C24">
      <w:pPr>
        <w:spacing w:before="387"/>
        <w:rPr>
          <w:rFonts w:hint="default"/>
        </w:rPr>
      </w:pPr>
      <w:r>
        <w:continuationSeparator/>
      </w:r>
    </w:p>
  </w:footnote>
  <w:footnote w:type="continuationSeparator" w:id="0">
    <w:p w14:paraId="7472ED8F" w14:textId="77777777" w:rsidR="00AC1C24" w:rsidRDefault="00AC1C24">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770"/>
  <w:hyphenationZone w:val="0"/>
  <w:drawingGridHorizontalSpacing w:val="340"/>
  <w:drawingGridVerticalSpacing w:val="24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13B"/>
    <w:rsid w:val="001F2700"/>
    <w:rsid w:val="001F6437"/>
    <w:rsid w:val="002A613B"/>
    <w:rsid w:val="00370E33"/>
    <w:rsid w:val="003A654D"/>
    <w:rsid w:val="00504734"/>
    <w:rsid w:val="0053558E"/>
    <w:rsid w:val="005608EE"/>
    <w:rsid w:val="005B773D"/>
    <w:rsid w:val="00653F49"/>
    <w:rsid w:val="006E0B36"/>
    <w:rsid w:val="008024E9"/>
    <w:rsid w:val="008111D6"/>
    <w:rsid w:val="0086550B"/>
    <w:rsid w:val="00A41A0E"/>
    <w:rsid w:val="00A97920"/>
    <w:rsid w:val="00AA56E6"/>
    <w:rsid w:val="00AC1C24"/>
    <w:rsid w:val="00B1086D"/>
    <w:rsid w:val="00B65F7E"/>
    <w:rsid w:val="00C3221B"/>
    <w:rsid w:val="00CC1B06"/>
    <w:rsid w:val="00CD436A"/>
    <w:rsid w:val="00D23606"/>
    <w:rsid w:val="00D42560"/>
    <w:rsid w:val="00D91DD3"/>
    <w:rsid w:val="00E0408A"/>
    <w:rsid w:val="00E077BA"/>
    <w:rsid w:val="00E13183"/>
    <w:rsid w:val="00E14583"/>
    <w:rsid w:val="00EE7D34"/>
    <w:rsid w:val="00EF1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C4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２"/>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4">
    <w:name w:val="Revision"/>
    <w:hidden/>
    <w:uiPriority w:val="99"/>
    <w:semiHidden/>
    <w:rsid w:val="003A654D"/>
    <w:rPr>
      <w:rFonts w:hint="eastAsia"/>
      <w:color w:val="000000"/>
      <w:sz w:val="18"/>
    </w:rPr>
  </w:style>
  <w:style w:type="paragraph" w:styleId="a5">
    <w:name w:val="header"/>
    <w:basedOn w:val="a"/>
    <w:link w:val="a6"/>
    <w:uiPriority w:val="99"/>
    <w:unhideWhenUsed/>
    <w:rsid w:val="005608EE"/>
    <w:pPr>
      <w:tabs>
        <w:tab w:val="center" w:pos="4252"/>
        <w:tab w:val="right" w:pos="8504"/>
      </w:tabs>
      <w:snapToGrid w:val="0"/>
    </w:pPr>
  </w:style>
  <w:style w:type="character" w:customStyle="1" w:styleId="a6">
    <w:name w:val="ヘッダー (文字)"/>
    <w:link w:val="a5"/>
    <w:uiPriority w:val="99"/>
    <w:rsid w:val="005608EE"/>
    <w:rPr>
      <w:color w:val="000000"/>
      <w:sz w:val="18"/>
    </w:rPr>
  </w:style>
  <w:style w:type="paragraph" w:styleId="a7">
    <w:name w:val="footer"/>
    <w:basedOn w:val="a"/>
    <w:link w:val="a8"/>
    <w:uiPriority w:val="99"/>
    <w:unhideWhenUsed/>
    <w:rsid w:val="005608EE"/>
    <w:pPr>
      <w:tabs>
        <w:tab w:val="center" w:pos="4252"/>
        <w:tab w:val="right" w:pos="8504"/>
      </w:tabs>
      <w:snapToGrid w:val="0"/>
    </w:pPr>
  </w:style>
  <w:style w:type="character" w:customStyle="1" w:styleId="a8">
    <w:name w:val="フッター (文字)"/>
    <w:link w:val="a7"/>
    <w:uiPriority w:val="99"/>
    <w:rsid w:val="005608EE"/>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2026-02-20T05:37:00Z</dcterms:created>
  <dcterms:modified xsi:type="dcterms:W3CDTF">2026-02-20T05:37:00Z</dcterms:modified>
</cp:coreProperties>
</file>