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08" w:rsidRDefault="00894408">
      <w:pPr>
        <w:tabs>
          <w:tab w:val="left" w:pos="8373"/>
        </w:tabs>
        <w:spacing w:line="281" w:lineRule="exact"/>
        <w:jc w:val="center"/>
        <w:rPr>
          <w:rFonts w:hAnsi="ＭＳ 明朝" w:hint="default"/>
        </w:rPr>
      </w:pPr>
      <w:bookmarkStart w:id="0" w:name="_GoBack"/>
      <w:bookmarkEnd w:id="0"/>
      <w:r>
        <w:rPr>
          <w:rFonts w:ascii="游明朝" w:eastAsia="游明朝" w:hAnsi="游明朝"/>
          <w:b/>
          <w:sz w:val="24"/>
        </w:rPr>
        <w:t>令和</w:t>
      </w:r>
      <w:r w:rsidR="00271EDF">
        <w:rPr>
          <w:rFonts w:ascii="游明朝" w:eastAsia="游明朝" w:hAnsi="游明朝"/>
          <w:b/>
          <w:sz w:val="24"/>
        </w:rPr>
        <w:t>６</w:t>
      </w:r>
      <w:r>
        <w:rPr>
          <w:rFonts w:ascii="游明朝" w:eastAsia="游明朝" w:hAnsi="游明朝"/>
          <w:b/>
          <w:sz w:val="24"/>
        </w:rPr>
        <w:t>年度　病害虫発生予察　注意報第</w:t>
      </w:r>
      <w:r w:rsidR="00271EDF">
        <w:rPr>
          <w:rFonts w:ascii="游明朝" w:eastAsia="游明朝" w:hAnsi="游明朝"/>
          <w:b/>
          <w:sz w:val="24"/>
        </w:rPr>
        <w:t>３</w:t>
      </w:r>
      <w:r>
        <w:rPr>
          <w:rFonts w:ascii="游明朝" w:eastAsia="游明朝" w:hAnsi="游明朝"/>
          <w:b/>
          <w:sz w:val="24"/>
        </w:rPr>
        <w:t>号</w:t>
      </w:r>
    </w:p>
    <w:p w:rsidR="00894408" w:rsidRDefault="00894408">
      <w:pPr>
        <w:spacing w:line="240" w:lineRule="exact"/>
        <w:rPr>
          <w:rFonts w:hAnsi="ＭＳ 明朝" w:hint="default"/>
        </w:rPr>
      </w:pPr>
    </w:p>
    <w:p w:rsidR="00894408" w:rsidRDefault="00894408">
      <w:pPr>
        <w:spacing w:line="261" w:lineRule="exact"/>
        <w:rPr>
          <w:rFonts w:hAnsi="ＭＳ 明朝" w:hint="default"/>
        </w:rPr>
      </w:pPr>
      <w:r>
        <w:rPr>
          <w:rFonts w:hAnsi="ＭＳ 明朝"/>
          <w:spacing w:val="-8"/>
        </w:rPr>
        <w:t xml:space="preserve">                 </w:t>
      </w:r>
      <w:r>
        <w:rPr>
          <w:rFonts w:hAnsi="ＭＳ 明朝"/>
          <w:spacing w:val="-18"/>
          <w:sz w:val="22"/>
        </w:rPr>
        <w:t xml:space="preserve">　　　　　　　　　　　　　　　</w:t>
      </w:r>
      <w:r w:rsidRPr="008D470B">
        <w:rPr>
          <w:rFonts w:ascii="游明朝" w:eastAsia="游明朝" w:hAnsi="游明朝"/>
          <w:spacing w:val="113"/>
          <w:sz w:val="22"/>
          <w:fitText w:val="3795" w:id="-962973184"/>
        </w:rPr>
        <w:t>令和</w:t>
      </w:r>
      <w:r w:rsidR="00271EDF" w:rsidRPr="008D470B">
        <w:rPr>
          <w:rFonts w:ascii="游明朝" w:eastAsia="游明朝" w:hAnsi="游明朝"/>
          <w:spacing w:val="113"/>
          <w:sz w:val="22"/>
          <w:fitText w:val="3795" w:id="-962973184"/>
        </w:rPr>
        <w:t>６</w:t>
      </w:r>
      <w:r w:rsidRPr="008D470B">
        <w:rPr>
          <w:rFonts w:ascii="游明朝" w:eastAsia="游明朝" w:hAnsi="游明朝"/>
          <w:spacing w:val="113"/>
          <w:sz w:val="22"/>
          <w:fitText w:val="3795" w:id="-962973184"/>
        </w:rPr>
        <w:t>年</w:t>
      </w:r>
      <w:r w:rsidR="00271EDF" w:rsidRPr="008D470B">
        <w:rPr>
          <w:rFonts w:ascii="游明朝" w:eastAsia="游明朝" w:hAnsi="游明朝"/>
          <w:spacing w:val="113"/>
          <w:sz w:val="22"/>
          <w:fitText w:val="3795" w:id="-962973184"/>
        </w:rPr>
        <w:t>６</w:t>
      </w:r>
      <w:r w:rsidRPr="008D470B">
        <w:rPr>
          <w:rFonts w:ascii="游明朝" w:eastAsia="游明朝" w:hAnsi="游明朝"/>
          <w:spacing w:val="113"/>
          <w:sz w:val="22"/>
          <w:fitText w:val="3795" w:id="-962973184"/>
        </w:rPr>
        <w:t>月</w:t>
      </w:r>
      <w:r w:rsidR="008D470B" w:rsidRPr="008D470B">
        <w:rPr>
          <w:rFonts w:ascii="游明朝" w:eastAsia="游明朝" w:hAnsi="游明朝"/>
          <w:spacing w:val="113"/>
          <w:sz w:val="22"/>
          <w:fitText w:val="3795" w:id="-962973184"/>
        </w:rPr>
        <w:t>２０</w:t>
      </w:r>
      <w:r w:rsidRPr="008D470B">
        <w:rPr>
          <w:rFonts w:ascii="游明朝" w:eastAsia="游明朝" w:hAnsi="游明朝"/>
          <w:spacing w:val="4"/>
          <w:sz w:val="22"/>
          <w:fitText w:val="3795" w:id="-962973184"/>
        </w:rPr>
        <w:t>日</w:t>
      </w:r>
    </w:p>
    <w:p w:rsidR="00894408" w:rsidRDefault="00894408">
      <w:pPr>
        <w:spacing w:line="261" w:lineRule="exact"/>
        <w:rPr>
          <w:rFonts w:hAnsi="ＭＳ 明朝" w:hint="default"/>
        </w:rPr>
      </w:pPr>
      <w:r>
        <w:rPr>
          <w:rFonts w:ascii="游明朝" w:eastAsia="游明朝" w:hAnsi="游明朝"/>
          <w:spacing w:val="-18"/>
          <w:sz w:val="22"/>
        </w:rPr>
        <w:t xml:space="preserve">　　　　　　　　　　　　　　　　　　　　　　　</w:t>
      </w:r>
      <w:r w:rsidRPr="00271EDF">
        <w:rPr>
          <w:rFonts w:ascii="游明朝" w:eastAsia="游明朝" w:hAnsi="游明朝"/>
          <w:sz w:val="22"/>
        </w:rPr>
        <w:t>大分県農林水産研究指導センター</w:t>
      </w:r>
    </w:p>
    <w:p w:rsidR="00894408" w:rsidRDefault="00894408">
      <w:pPr>
        <w:spacing w:line="261" w:lineRule="exact"/>
        <w:rPr>
          <w:rFonts w:hAnsi="ＭＳ 明朝" w:hint="default"/>
        </w:rPr>
      </w:pPr>
      <w:r>
        <w:rPr>
          <w:rFonts w:ascii="游明朝" w:eastAsia="游明朝" w:hAnsi="游明朝"/>
          <w:spacing w:val="-18"/>
          <w:sz w:val="22"/>
        </w:rPr>
        <w:t xml:space="preserve">　　　　　　　　　　　　　　　　　　　　　　　</w:t>
      </w:r>
      <w:r w:rsidRPr="00271EDF">
        <w:rPr>
          <w:rFonts w:ascii="游明朝" w:eastAsia="游明朝" w:hAnsi="游明朝"/>
          <w:spacing w:val="337"/>
          <w:sz w:val="22"/>
          <w:fitText w:val="3795" w:id="-962972928"/>
        </w:rPr>
        <w:t>農業研究</w:t>
      </w:r>
      <w:r w:rsidRPr="00271EDF">
        <w:rPr>
          <w:rFonts w:ascii="游明朝" w:eastAsia="游明朝" w:hAnsi="游明朝"/>
          <w:sz w:val="22"/>
          <w:fitText w:val="3795" w:id="-962972928"/>
        </w:rPr>
        <w:t>部</w:t>
      </w:r>
    </w:p>
    <w:p w:rsidR="00894408" w:rsidRDefault="00894408">
      <w:pPr>
        <w:spacing w:line="240" w:lineRule="exact"/>
        <w:rPr>
          <w:rFonts w:hAnsi="ＭＳ 明朝" w:hint="default"/>
        </w:rPr>
      </w:pPr>
    </w:p>
    <w:p w:rsidR="00894408" w:rsidRPr="00271EDF" w:rsidRDefault="00894408">
      <w:pPr>
        <w:spacing w:line="251" w:lineRule="exact"/>
        <w:rPr>
          <w:rFonts w:hAnsi="ＭＳ 明朝" w:hint="default"/>
          <w:sz w:val="22"/>
          <w:szCs w:val="22"/>
        </w:rPr>
      </w:pPr>
      <w:r w:rsidRPr="00271EDF">
        <w:rPr>
          <w:rFonts w:ascii="游明朝" w:eastAsia="游明朝" w:hAnsi="游明朝"/>
          <w:sz w:val="22"/>
          <w:szCs w:val="22"/>
        </w:rPr>
        <w:t xml:space="preserve">１　</w:t>
      </w:r>
      <w:r w:rsidRPr="00271EDF">
        <w:rPr>
          <w:rFonts w:ascii="游明朝" w:eastAsia="游明朝" w:hAnsi="游明朝"/>
          <w:spacing w:val="34"/>
          <w:sz w:val="22"/>
          <w:szCs w:val="22"/>
          <w:fitText w:val="1373" w:id="4"/>
        </w:rPr>
        <w:t>対象病害</w:t>
      </w:r>
      <w:r w:rsidRPr="00271EDF">
        <w:rPr>
          <w:rFonts w:ascii="游明朝" w:eastAsia="游明朝" w:hAnsi="游明朝"/>
          <w:spacing w:val="1"/>
          <w:sz w:val="22"/>
          <w:szCs w:val="22"/>
          <w:fitText w:val="1373" w:id="4"/>
        </w:rPr>
        <w:t>虫</w:t>
      </w:r>
      <w:r w:rsidRPr="00271EDF">
        <w:rPr>
          <w:rFonts w:ascii="游明朝" w:eastAsia="游明朝" w:hAnsi="游明朝"/>
          <w:sz w:val="22"/>
          <w:szCs w:val="22"/>
        </w:rPr>
        <w:t xml:space="preserve">　トビイロウンカ</w:t>
      </w:r>
    </w:p>
    <w:p w:rsidR="00894408" w:rsidRPr="00271EDF" w:rsidRDefault="00894408">
      <w:pPr>
        <w:spacing w:line="251" w:lineRule="exact"/>
        <w:rPr>
          <w:rFonts w:hAnsi="ＭＳ 明朝" w:hint="default"/>
          <w:sz w:val="22"/>
          <w:szCs w:val="22"/>
        </w:rPr>
      </w:pPr>
      <w:r w:rsidRPr="00271EDF">
        <w:rPr>
          <w:rFonts w:ascii="游明朝" w:eastAsia="游明朝" w:hAnsi="游明朝"/>
          <w:sz w:val="22"/>
          <w:szCs w:val="22"/>
        </w:rPr>
        <w:t xml:space="preserve">２　</w:t>
      </w:r>
      <w:r w:rsidRPr="00271EDF">
        <w:rPr>
          <w:rFonts w:ascii="游明朝" w:eastAsia="游明朝" w:hAnsi="游明朝"/>
          <w:spacing w:val="82"/>
          <w:sz w:val="22"/>
          <w:szCs w:val="22"/>
          <w:fitText w:val="1373" w:id="5"/>
        </w:rPr>
        <w:t>対象作</w:t>
      </w:r>
      <w:r w:rsidRPr="00271EDF">
        <w:rPr>
          <w:rFonts w:ascii="游明朝" w:eastAsia="游明朝" w:hAnsi="游明朝"/>
          <w:sz w:val="22"/>
          <w:szCs w:val="22"/>
          <w:fitText w:val="1373" w:id="5"/>
        </w:rPr>
        <w:t>物</w:t>
      </w:r>
      <w:r w:rsidRPr="00271EDF">
        <w:rPr>
          <w:rFonts w:ascii="游明朝" w:eastAsia="游明朝" w:hAnsi="游明朝"/>
          <w:sz w:val="22"/>
          <w:szCs w:val="22"/>
        </w:rPr>
        <w:t xml:space="preserve">　</w:t>
      </w:r>
      <w:r w:rsidR="00271EDF" w:rsidRPr="00271EDF">
        <w:rPr>
          <w:rFonts w:ascii="游明朝" w:eastAsia="游明朝" w:hAnsi="游明朝"/>
          <w:sz w:val="22"/>
          <w:szCs w:val="22"/>
        </w:rPr>
        <w:t>早期水稲、</w:t>
      </w:r>
      <w:r w:rsidRPr="00271EDF">
        <w:rPr>
          <w:rFonts w:ascii="游明朝" w:eastAsia="游明朝" w:hAnsi="游明朝"/>
          <w:sz w:val="22"/>
          <w:szCs w:val="22"/>
        </w:rPr>
        <w:t>普通期水稲</w:t>
      </w:r>
      <w:r w:rsidR="00271EDF" w:rsidRPr="00271EDF">
        <w:rPr>
          <w:rFonts w:ascii="游明朝" w:eastAsia="游明朝" w:hAnsi="游明朝"/>
          <w:sz w:val="22"/>
          <w:szCs w:val="22"/>
        </w:rPr>
        <w:t>の早植地域</w:t>
      </w:r>
    </w:p>
    <w:p w:rsidR="00894408" w:rsidRPr="00271EDF" w:rsidRDefault="00894408">
      <w:pPr>
        <w:spacing w:line="251" w:lineRule="exact"/>
        <w:rPr>
          <w:rFonts w:hAnsi="ＭＳ 明朝" w:hint="default"/>
          <w:sz w:val="22"/>
          <w:szCs w:val="22"/>
        </w:rPr>
      </w:pPr>
      <w:r w:rsidRPr="00271EDF">
        <w:rPr>
          <w:rFonts w:ascii="游明朝" w:eastAsia="游明朝" w:hAnsi="游明朝"/>
          <w:sz w:val="22"/>
          <w:szCs w:val="22"/>
        </w:rPr>
        <w:t xml:space="preserve">３　</w:t>
      </w:r>
      <w:r w:rsidRPr="00271EDF">
        <w:rPr>
          <w:rFonts w:ascii="游明朝" w:eastAsia="游明朝" w:hAnsi="游明朝"/>
          <w:spacing w:val="82"/>
          <w:sz w:val="22"/>
          <w:szCs w:val="22"/>
          <w:fitText w:val="1373" w:id="6"/>
        </w:rPr>
        <w:t>対象地</w:t>
      </w:r>
      <w:r w:rsidRPr="00271EDF">
        <w:rPr>
          <w:rFonts w:ascii="游明朝" w:eastAsia="游明朝" w:hAnsi="游明朝"/>
          <w:sz w:val="22"/>
          <w:szCs w:val="22"/>
          <w:fitText w:val="1373" w:id="6"/>
        </w:rPr>
        <w:t>域</w:t>
      </w:r>
      <w:r w:rsidRPr="00271EDF">
        <w:rPr>
          <w:rFonts w:ascii="游明朝" w:eastAsia="游明朝" w:hAnsi="游明朝"/>
          <w:sz w:val="22"/>
          <w:szCs w:val="22"/>
        </w:rPr>
        <w:t xml:space="preserve">　県内全域</w:t>
      </w:r>
    </w:p>
    <w:p w:rsidR="00894408" w:rsidRPr="00271EDF" w:rsidRDefault="00894408">
      <w:pPr>
        <w:spacing w:line="251" w:lineRule="exact"/>
        <w:rPr>
          <w:rFonts w:hAnsi="ＭＳ 明朝" w:hint="default"/>
          <w:sz w:val="22"/>
          <w:szCs w:val="22"/>
        </w:rPr>
      </w:pPr>
      <w:r w:rsidRPr="00271EDF">
        <w:rPr>
          <w:rFonts w:ascii="游明朝" w:eastAsia="游明朝" w:hAnsi="游明朝"/>
          <w:sz w:val="22"/>
          <w:szCs w:val="22"/>
        </w:rPr>
        <w:t xml:space="preserve">４　</w:t>
      </w:r>
      <w:r w:rsidRPr="00271EDF">
        <w:rPr>
          <w:rFonts w:ascii="游明朝" w:eastAsia="游明朝" w:hAnsi="游明朝"/>
          <w:spacing w:val="82"/>
          <w:sz w:val="22"/>
          <w:szCs w:val="22"/>
          <w:fitText w:val="1373" w:id="7"/>
        </w:rPr>
        <w:t>発生面</w:t>
      </w:r>
      <w:r w:rsidRPr="00271EDF">
        <w:rPr>
          <w:rFonts w:ascii="游明朝" w:eastAsia="游明朝" w:hAnsi="游明朝"/>
          <w:sz w:val="22"/>
          <w:szCs w:val="22"/>
          <w:fitText w:val="1373" w:id="7"/>
        </w:rPr>
        <w:t>積</w:t>
      </w:r>
      <w:r w:rsidRPr="00271EDF">
        <w:rPr>
          <w:rFonts w:ascii="游明朝" w:eastAsia="游明朝" w:hAnsi="游明朝"/>
          <w:sz w:val="22"/>
          <w:szCs w:val="22"/>
        </w:rPr>
        <w:t xml:space="preserve">　</w:t>
      </w:r>
      <w:r w:rsidR="00271EDF" w:rsidRPr="00271EDF">
        <w:rPr>
          <w:rFonts w:ascii="游明朝" w:eastAsia="游明朝" w:hAnsi="游明朝"/>
          <w:sz w:val="22"/>
          <w:szCs w:val="22"/>
        </w:rPr>
        <w:t>やや</w:t>
      </w:r>
      <w:r w:rsidRPr="00271EDF">
        <w:rPr>
          <w:rFonts w:ascii="游明朝" w:eastAsia="游明朝" w:hAnsi="游明朝"/>
          <w:sz w:val="22"/>
          <w:szCs w:val="22"/>
        </w:rPr>
        <w:t>多い</w:t>
      </w:r>
    </w:p>
    <w:p w:rsidR="00894408" w:rsidRDefault="00894408">
      <w:pPr>
        <w:spacing w:line="251" w:lineRule="exact"/>
        <w:rPr>
          <w:rFonts w:ascii="游明朝" w:eastAsia="游明朝" w:hAnsi="游明朝" w:hint="default"/>
          <w:sz w:val="22"/>
          <w:szCs w:val="22"/>
        </w:rPr>
      </w:pPr>
      <w:r w:rsidRPr="00271EDF">
        <w:rPr>
          <w:rFonts w:ascii="游明朝" w:eastAsia="游明朝" w:hAnsi="游明朝"/>
          <w:sz w:val="22"/>
          <w:szCs w:val="22"/>
        </w:rPr>
        <w:t xml:space="preserve">５　</w:t>
      </w:r>
      <w:r w:rsidRPr="00271EDF">
        <w:rPr>
          <w:rFonts w:ascii="游明朝" w:eastAsia="游明朝" w:hAnsi="游明朝"/>
          <w:spacing w:val="178"/>
          <w:sz w:val="22"/>
          <w:szCs w:val="22"/>
          <w:fitText w:val="1373" w:id="8"/>
        </w:rPr>
        <w:t>発生</w:t>
      </w:r>
      <w:r w:rsidRPr="00271EDF">
        <w:rPr>
          <w:rFonts w:ascii="游明朝" w:eastAsia="游明朝" w:hAnsi="游明朝"/>
          <w:spacing w:val="1"/>
          <w:sz w:val="22"/>
          <w:szCs w:val="22"/>
          <w:fitText w:val="1373" w:id="8"/>
        </w:rPr>
        <w:t>量</w:t>
      </w:r>
      <w:r w:rsidRPr="00271EDF">
        <w:rPr>
          <w:rFonts w:ascii="游明朝" w:eastAsia="游明朝" w:hAnsi="游明朝"/>
          <w:sz w:val="22"/>
          <w:szCs w:val="22"/>
        </w:rPr>
        <w:t xml:space="preserve">　多い</w:t>
      </w:r>
    </w:p>
    <w:p w:rsidR="00967C93" w:rsidRPr="00271EDF" w:rsidRDefault="00967C93">
      <w:pPr>
        <w:spacing w:line="251" w:lineRule="exact"/>
        <w:rPr>
          <w:rFonts w:hAnsi="ＭＳ 明朝" w:hint="default"/>
          <w:sz w:val="22"/>
          <w:szCs w:val="22"/>
        </w:rPr>
      </w:pPr>
    </w:p>
    <w:p w:rsidR="00894408" w:rsidRPr="00271EDF" w:rsidRDefault="00894408">
      <w:pPr>
        <w:spacing w:line="261" w:lineRule="exact"/>
        <w:rPr>
          <w:rFonts w:hAnsi="ＭＳ 明朝" w:hint="default"/>
          <w:sz w:val="22"/>
          <w:szCs w:val="22"/>
        </w:rPr>
      </w:pPr>
      <w:r w:rsidRPr="00271EDF">
        <w:rPr>
          <w:rFonts w:ascii="游明朝" w:eastAsia="游明朝" w:hAnsi="游明朝"/>
          <w:sz w:val="22"/>
          <w:szCs w:val="22"/>
        </w:rPr>
        <w:t>６　注意報発表の根拠</w:t>
      </w:r>
    </w:p>
    <w:p w:rsidR="00894408" w:rsidRDefault="00894408" w:rsidP="00495311">
      <w:pPr>
        <w:spacing w:line="241" w:lineRule="exact"/>
        <w:ind w:left="758" w:hangingChars="300" w:hanging="758"/>
        <w:rPr>
          <w:rFonts w:ascii="游明朝" w:eastAsia="游明朝" w:hAnsi="游明朝" w:hint="default"/>
          <w:sz w:val="22"/>
          <w:szCs w:val="22"/>
        </w:rPr>
      </w:pPr>
      <w:r w:rsidRPr="00271EDF">
        <w:rPr>
          <w:rFonts w:ascii="游明朝" w:eastAsia="游明朝" w:hAnsi="游明朝"/>
          <w:sz w:val="22"/>
          <w:szCs w:val="22"/>
        </w:rPr>
        <w:t>（１）</w:t>
      </w:r>
      <w:r w:rsidR="00271EDF">
        <w:rPr>
          <w:rFonts w:ascii="游明朝" w:eastAsia="游明朝" w:hAnsi="游明朝"/>
          <w:sz w:val="22"/>
          <w:szCs w:val="22"/>
        </w:rPr>
        <w:t>６</w:t>
      </w:r>
      <w:r w:rsidRPr="00271EDF">
        <w:rPr>
          <w:rFonts w:ascii="游明朝" w:eastAsia="游明朝" w:hAnsi="游明朝"/>
          <w:sz w:val="22"/>
          <w:szCs w:val="22"/>
        </w:rPr>
        <w:t>月1</w:t>
      </w:r>
      <w:r w:rsidR="00271EDF">
        <w:rPr>
          <w:rFonts w:ascii="游明朝" w:eastAsia="游明朝" w:hAnsi="游明朝"/>
          <w:sz w:val="22"/>
          <w:szCs w:val="22"/>
        </w:rPr>
        <w:t>2</w:t>
      </w:r>
      <w:r w:rsidRPr="00271EDF">
        <w:rPr>
          <w:rFonts w:ascii="游明朝" w:eastAsia="游明朝" w:hAnsi="游明朝"/>
          <w:sz w:val="22"/>
          <w:szCs w:val="22"/>
        </w:rPr>
        <w:t>～</w:t>
      </w:r>
      <w:r w:rsidR="00271EDF">
        <w:rPr>
          <w:rFonts w:ascii="游明朝" w:eastAsia="游明朝" w:hAnsi="游明朝"/>
          <w:sz w:val="22"/>
          <w:szCs w:val="22"/>
        </w:rPr>
        <w:t>18</w:t>
      </w:r>
      <w:r w:rsidRPr="00271EDF">
        <w:rPr>
          <w:rFonts w:ascii="游明朝" w:eastAsia="游明朝" w:hAnsi="游明朝"/>
          <w:sz w:val="22"/>
          <w:szCs w:val="22"/>
        </w:rPr>
        <w:t>日の巡回調査では、</w:t>
      </w:r>
      <w:r w:rsidR="00C315F2">
        <w:rPr>
          <w:rFonts w:ascii="游明朝" w:eastAsia="游明朝" w:hAnsi="游明朝"/>
          <w:sz w:val="22"/>
          <w:szCs w:val="22"/>
        </w:rPr>
        <w:t>県北部において</w:t>
      </w:r>
      <w:r w:rsidR="00271EDF">
        <w:rPr>
          <w:rFonts w:ascii="游明朝" w:eastAsia="游明朝" w:hAnsi="游明朝"/>
          <w:sz w:val="22"/>
          <w:szCs w:val="22"/>
        </w:rPr>
        <w:t>早期水稲10圃場中</w:t>
      </w:r>
      <w:r w:rsidR="008D470B">
        <w:rPr>
          <w:rFonts w:ascii="游明朝" w:eastAsia="游明朝" w:hAnsi="游明朝"/>
          <w:sz w:val="22"/>
          <w:szCs w:val="22"/>
        </w:rPr>
        <w:t>２</w:t>
      </w:r>
      <w:r w:rsidRPr="00271EDF">
        <w:rPr>
          <w:rFonts w:ascii="游明朝" w:eastAsia="游明朝" w:hAnsi="游明朝"/>
          <w:sz w:val="22"/>
          <w:szCs w:val="22"/>
        </w:rPr>
        <w:t>圃場で</w:t>
      </w:r>
      <w:r w:rsidR="00596C74">
        <w:rPr>
          <w:rFonts w:ascii="游明朝" w:eastAsia="游明朝" w:hAnsi="游明朝"/>
          <w:sz w:val="22"/>
          <w:szCs w:val="22"/>
        </w:rPr>
        <w:t>トビイロウンカの</w:t>
      </w:r>
      <w:r w:rsidR="00271EDF">
        <w:rPr>
          <w:rFonts w:ascii="游明朝" w:eastAsia="游明朝" w:hAnsi="游明朝"/>
          <w:sz w:val="22"/>
          <w:szCs w:val="22"/>
        </w:rPr>
        <w:t>終齢幼虫を含む幼虫を確認した。</w:t>
      </w:r>
      <w:r w:rsidR="006D4E30">
        <w:rPr>
          <w:rFonts w:ascii="游明朝" w:eastAsia="游明朝" w:hAnsi="游明朝"/>
          <w:sz w:val="22"/>
          <w:szCs w:val="22"/>
        </w:rPr>
        <w:t>幼虫の齢数から５月下旬に海外から飛来した可能性がある。過去10年間でこの時期にトビイロウンカが確認されたことはなく、平年より１か月ほど早い発生である</w:t>
      </w:r>
      <w:r w:rsidR="00E24672">
        <w:rPr>
          <w:rFonts w:ascii="游明朝" w:eastAsia="游明朝" w:hAnsi="游明朝"/>
          <w:sz w:val="22"/>
          <w:szCs w:val="22"/>
        </w:rPr>
        <w:t>ため、早期水稲においても坪枯れが発生する可能性がある</w:t>
      </w:r>
      <w:r w:rsidR="006D4E30">
        <w:rPr>
          <w:rFonts w:ascii="游明朝" w:eastAsia="游明朝" w:hAnsi="游明朝"/>
          <w:sz w:val="22"/>
          <w:szCs w:val="22"/>
        </w:rPr>
        <w:t>。</w:t>
      </w:r>
    </w:p>
    <w:p w:rsidR="004B72B3" w:rsidRDefault="004B72B3" w:rsidP="00495311">
      <w:pPr>
        <w:spacing w:line="241" w:lineRule="exact"/>
        <w:ind w:left="758" w:hangingChars="300" w:hanging="758"/>
        <w:rPr>
          <w:rFonts w:ascii="游明朝" w:eastAsia="游明朝" w:hAnsi="游明朝" w:hint="default"/>
          <w:sz w:val="22"/>
          <w:szCs w:val="22"/>
        </w:rPr>
      </w:pPr>
    </w:p>
    <w:p w:rsidR="00894408" w:rsidRPr="006D4E30" w:rsidRDefault="00894408">
      <w:pPr>
        <w:spacing w:line="241" w:lineRule="exact"/>
        <w:rPr>
          <w:rFonts w:hAnsi="ＭＳ 明朝" w:hint="default"/>
          <w:color w:val="auto"/>
          <w:sz w:val="22"/>
          <w:szCs w:val="22"/>
        </w:rPr>
      </w:pPr>
      <w:r w:rsidRPr="00271EDF">
        <w:rPr>
          <w:rFonts w:ascii="游明朝" w:eastAsia="游明朝" w:hAnsi="游明朝"/>
          <w:color w:val="FF0000"/>
          <w:sz w:val="22"/>
          <w:szCs w:val="22"/>
        </w:rPr>
        <w:t xml:space="preserve">　　　</w:t>
      </w:r>
      <w:r w:rsidR="00967C93">
        <w:rPr>
          <w:rFonts w:ascii="游明朝" w:eastAsia="游明朝" w:hAnsi="游明朝"/>
          <w:color w:val="FF0000"/>
          <w:sz w:val="22"/>
          <w:szCs w:val="22"/>
        </w:rPr>
        <w:t xml:space="preserve">　</w:t>
      </w:r>
      <w:r w:rsidR="006D4E30" w:rsidRPr="006D4E30">
        <w:rPr>
          <w:rFonts w:ascii="游明朝" w:eastAsia="游明朝" w:hAnsi="游明朝"/>
          <w:color w:val="auto"/>
          <w:sz w:val="22"/>
          <w:szCs w:val="22"/>
        </w:rPr>
        <w:t>早期</w:t>
      </w:r>
      <w:r w:rsidRPr="006D4E30">
        <w:rPr>
          <w:rFonts w:ascii="游明朝" w:eastAsia="游明朝" w:hAnsi="游明朝"/>
          <w:color w:val="auto"/>
          <w:sz w:val="22"/>
          <w:szCs w:val="22"/>
        </w:rPr>
        <w:t>水稲における発生状況</w:t>
      </w:r>
    </w:p>
    <w:p w:rsidR="00894408" w:rsidRPr="00967C93" w:rsidRDefault="00894408">
      <w:pPr>
        <w:spacing w:line="241" w:lineRule="exact"/>
        <w:rPr>
          <w:rFonts w:hAnsi="ＭＳ 明朝" w:hint="default"/>
          <w:color w:val="auto"/>
          <w:sz w:val="22"/>
          <w:szCs w:val="22"/>
        </w:rPr>
      </w:pPr>
      <w:r w:rsidRPr="00271EDF">
        <w:rPr>
          <w:rFonts w:ascii="游明朝" w:eastAsia="游明朝" w:hAnsi="游明朝"/>
          <w:color w:val="FF0000"/>
          <w:sz w:val="22"/>
          <w:szCs w:val="22"/>
        </w:rPr>
        <w:t xml:space="preserve">　　　　</w:t>
      </w:r>
      <w:r w:rsidR="00967C93">
        <w:rPr>
          <w:rFonts w:ascii="游明朝" w:eastAsia="游明朝" w:hAnsi="游明朝"/>
          <w:color w:val="FF0000"/>
          <w:sz w:val="22"/>
          <w:szCs w:val="22"/>
        </w:rPr>
        <w:t xml:space="preserve">　</w:t>
      </w:r>
      <w:r w:rsidRPr="00967C93">
        <w:rPr>
          <w:rFonts w:ascii="游明朝" w:eastAsia="游明朝" w:hAnsi="游明朝"/>
          <w:color w:val="auto"/>
          <w:sz w:val="22"/>
          <w:szCs w:val="22"/>
        </w:rPr>
        <w:t>発生圃場率　：</w:t>
      </w:r>
      <w:r w:rsidR="00C315F2" w:rsidRPr="00967C93">
        <w:rPr>
          <w:rFonts w:ascii="游明朝" w:eastAsia="游明朝" w:hAnsi="游明朝"/>
          <w:color w:val="auto"/>
          <w:spacing w:val="-8"/>
          <w:sz w:val="22"/>
          <w:szCs w:val="22"/>
        </w:rPr>
        <w:t xml:space="preserve"> </w:t>
      </w:r>
      <w:r w:rsidR="008D470B" w:rsidRPr="00967C93">
        <w:rPr>
          <w:rFonts w:ascii="游明朝" w:eastAsia="游明朝" w:hAnsi="游明朝" w:hint="default"/>
          <w:color w:val="auto"/>
          <w:spacing w:val="-8"/>
          <w:sz w:val="22"/>
          <w:szCs w:val="22"/>
        </w:rPr>
        <w:t>10</w:t>
      </w:r>
      <w:r w:rsidRPr="00967C93">
        <w:rPr>
          <w:rFonts w:ascii="游明朝" w:eastAsia="游明朝" w:hAnsi="游明朝"/>
          <w:color w:val="auto"/>
          <w:sz w:val="22"/>
          <w:szCs w:val="22"/>
        </w:rPr>
        <w:t>.0％</w:t>
      </w:r>
      <w:r w:rsidR="008D470B" w:rsidRPr="00967C93">
        <w:rPr>
          <w:rFonts w:ascii="游明朝" w:eastAsia="游明朝" w:hAnsi="游明朝"/>
          <w:color w:val="auto"/>
          <w:sz w:val="22"/>
          <w:szCs w:val="22"/>
        </w:rPr>
        <w:t xml:space="preserve"> </w:t>
      </w:r>
      <w:r w:rsidRPr="00967C93">
        <w:rPr>
          <w:rFonts w:ascii="游明朝" w:eastAsia="游明朝" w:hAnsi="游明朝"/>
          <w:color w:val="auto"/>
          <w:sz w:val="22"/>
          <w:szCs w:val="22"/>
        </w:rPr>
        <w:t>（平年：</w:t>
      </w:r>
      <w:r w:rsidRPr="00967C93">
        <w:rPr>
          <w:rFonts w:ascii="游明朝" w:eastAsia="游明朝" w:hAnsi="游明朝"/>
          <w:color w:val="auto"/>
          <w:spacing w:val="-8"/>
          <w:sz w:val="22"/>
          <w:szCs w:val="22"/>
        </w:rPr>
        <w:t xml:space="preserve"> </w:t>
      </w:r>
      <w:r w:rsidR="008D470B" w:rsidRPr="00967C93">
        <w:rPr>
          <w:rFonts w:ascii="游明朝" w:eastAsia="游明朝" w:hAnsi="游明朝" w:hint="default"/>
          <w:color w:val="auto"/>
          <w:spacing w:val="-8"/>
          <w:sz w:val="22"/>
          <w:szCs w:val="22"/>
        </w:rPr>
        <w:t xml:space="preserve"> 0</w:t>
      </w:r>
      <w:r w:rsidRPr="00967C93">
        <w:rPr>
          <w:rFonts w:ascii="游明朝" w:eastAsia="游明朝" w:hAnsi="游明朝"/>
          <w:color w:val="auto"/>
          <w:sz w:val="22"/>
          <w:szCs w:val="22"/>
        </w:rPr>
        <w:t>％、</w:t>
      </w:r>
      <w:r w:rsidR="008D470B" w:rsidRPr="00967C93">
        <w:rPr>
          <w:rFonts w:ascii="游明朝" w:eastAsia="游明朝" w:hAnsi="游明朝"/>
          <w:color w:val="auto"/>
          <w:sz w:val="22"/>
          <w:szCs w:val="22"/>
        </w:rPr>
        <w:t xml:space="preserve"> </w:t>
      </w:r>
      <w:r w:rsidRPr="00967C93">
        <w:rPr>
          <w:rFonts w:ascii="游明朝" w:eastAsia="游明朝" w:hAnsi="游明朝"/>
          <w:color w:val="auto"/>
          <w:sz w:val="22"/>
          <w:szCs w:val="22"/>
        </w:rPr>
        <w:t>前年：0％）</w:t>
      </w:r>
    </w:p>
    <w:p w:rsidR="00894408" w:rsidRDefault="00894408">
      <w:pPr>
        <w:spacing w:line="241" w:lineRule="exact"/>
        <w:rPr>
          <w:rFonts w:ascii="游明朝" w:eastAsia="游明朝" w:hAnsi="游明朝" w:hint="default"/>
          <w:color w:val="auto"/>
          <w:sz w:val="22"/>
          <w:szCs w:val="22"/>
        </w:rPr>
      </w:pPr>
      <w:r w:rsidRPr="00967C93">
        <w:rPr>
          <w:rFonts w:ascii="游明朝" w:eastAsia="游明朝" w:hAnsi="游明朝"/>
          <w:color w:val="auto"/>
          <w:sz w:val="22"/>
          <w:szCs w:val="22"/>
        </w:rPr>
        <w:t xml:space="preserve">　　　　</w:t>
      </w:r>
      <w:r w:rsidR="00967C93">
        <w:rPr>
          <w:rFonts w:ascii="游明朝" w:eastAsia="游明朝" w:hAnsi="游明朝"/>
          <w:color w:val="auto"/>
          <w:sz w:val="22"/>
          <w:szCs w:val="22"/>
        </w:rPr>
        <w:t xml:space="preserve">　</w:t>
      </w:r>
      <w:r w:rsidRPr="00967C93">
        <w:rPr>
          <w:rFonts w:ascii="游明朝" w:eastAsia="游明朝" w:hAnsi="游明朝"/>
          <w:color w:val="auto"/>
          <w:sz w:val="22"/>
          <w:szCs w:val="22"/>
        </w:rPr>
        <w:t>株当たり虫数：</w:t>
      </w:r>
      <w:r w:rsidRPr="00967C93">
        <w:rPr>
          <w:rFonts w:ascii="游明朝" w:eastAsia="游明朝" w:hAnsi="游明朝"/>
          <w:color w:val="auto"/>
          <w:spacing w:val="-8"/>
          <w:sz w:val="22"/>
          <w:szCs w:val="22"/>
        </w:rPr>
        <w:t xml:space="preserve"> </w:t>
      </w:r>
      <w:r w:rsidR="008D470B" w:rsidRPr="00967C93">
        <w:rPr>
          <w:rFonts w:ascii="游明朝" w:eastAsia="游明朝" w:hAnsi="游明朝" w:hint="default"/>
          <w:color w:val="auto"/>
          <w:spacing w:val="-8"/>
          <w:sz w:val="22"/>
          <w:szCs w:val="22"/>
        </w:rPr>
        <w:t xml:space="preserve"> </w:t>
      </w:r>
      <w:r w:rsidRPr="00967C93">
        <w:rPr>
          <w:rFonts w:ascii="游明朝" w:eastAsia="游明朝" w:hAnsi="游明朝"/>
          <w:color w:val="auto"/>
          <w:sz w:val="22"/>
          <w:szCs w:val="22"/>
        </w:rPr>
        <w:t>0.1頭</w:t>
      </w:r>
      <w:r w:rsidR="00E24672">
        <w:rPr>
          <w:rFonts w:ascii="游明朝" w:eastAsia="游明朝" w:hAnsi="游明朝"/>
          <w:color w:val="auto"/>
          <w:sz w:val="22"/>
          <w:szCs w:val="22"/>
        </w:rPr>
        <w:t xml:space="preserve"> </w:t>
      </w:r>
      <w:r w:rsidRPr="00967C93">
        <w:rPr>
          <w:rFonts w:ascii="游明朝" w:eastAsia="游明朝" w:hAnsi="游明朝"/>
          <w:color w:val="auto"/>
          <w:sz w:val="22"/>
          <w:szCs w:val="22"/>
        </w:rPr>
        <w:t>（平年：</w:t>
      </w:r>
      <w:r w:rsidR="008D470B" w:rsidRPr="00967C93">
        <w:rPr>
          <w:rFonts w:ascii="游明朝" w:eastAsia="游明朝" w:hAnsi="游明朝"/>
          <w:color w:val="auto"/>
          <w:sz w:val="22"/>
          <w:szCs w:val="22"/>
        </w:rPr>
        <w:t xml:space="preserve"> </w:t>
      </w:r>
      <w:r w:rsidR="008D470B" w:rsidRPr="00967C93">
        <w:rPr>
          <w:rFonts w:ascii="游明朝" w:eastAsia="游明朝" w:hAnsi="游明朝" w:hint="default"/>
          <w:color w:val="auto"/>
          <w:sz w:val="22"/>
          <w:szCs w:val="22"/>
        </w:rPr>
        <w:t xml:space="preserve"> </w:t>
      </w:r>
      <w:r w:rsidRPr="00967C93">
        <w:rPr>
          <w:rFonts w:ascii="游明朝" w:eastAsia="游明朝" w:hAnsi="游明朝"/>
          <w:color w:val="auto"/>
          <w:sz w:val="22"/>
          <w:szCs w:val="22"/>
        </w:rPr>
        <w:t>0頭、前年：0頭）</w:t>
      </w:r>
    </w:p>
    <w:p w:rsidR="004B72B3" w:rsidRDefault="004B72B3">
      <w:pPr>
        <w:spacing w:line="241" w:lineRule="exact"/>
        <w:rPr>
          <w:rFonts w:ascii="游明朝" w:eastAsia="游明朝" w:hAnsi="游明朝" w:hint="default"/>
          <w:color w:val="auto"/>
          <w:sz w:val="22"/>
          <w:szCs w:val="22"/>
        </w:rPr>
      </w:pPr>
    </w:p>
    <w:p w:rsidR="00894408" w:rsidRDefault="00894408" w:rsidP="00495311">
      <w:pPr>
        <w:spacing w:line="241" w:lineRule="exact"/>
        <w:ind w:left="758" w:hangingChars="300" w:hanging="758"/>
        <w:rPr>
          <w:rFonts w:ascii="游明朝" w:eastAsia="游明朝" w:hAnsi="游明朝" w:hint="default"/>
          <w:color w:val="auto"/>
          <w:sz w:val="22"/>
          <w:szCs w:val="22"/>
        </w:rPr>
      </w:pPr>
      <w:r w:rsidRPr="00C315F2">
        <w:rPr>
          <w:rFonts w:ascii="游明朝" w:eastAsia="游明朝" w:hAnsi="游明朝"/>
          <w:color w:val="auto"/>
          <w:sz w:val="22"/>
          <w:szCs w:val="22"/>
        </w:rPr>
        <w:t>（</w:t>
      </w:r>
      <w:r w:rsidR="004232A9" w:rsidRPr="00C315F2">
        <w:rPr>
          <w:rFonts w:ascii="游明朝" w:eastAsia="游明朝" w:hAnsi="游明朝"/>
          <w:color w:val="auto"/>
          <w:sz w:val="22"/>
          <w:szCs w:val="22"/>
        </w:rPr>
        <w:t>２</w:t>
      </w:r>
      <w:r w:rsidRPr="00C315F2">
        <w:rPr>
          <w:rFonts w:ascii="游明朝" w:eastAsia="游明朝" w:hAnsi="游明朝"/>
          <w:color w:val="auto"/>
          <w:sz w:val="22"/>
          <w:szCs w:val="22"/>
        </w:rPr>
        <w:t>）</w:t>
      </w:r>
      <w:r w:rsidR="00967C93">
        <w:rPr>
          <w:rFonts w:ascii="游明朝" w:eastAsia="游明朝" w:hAnsi="游明朝"/>
          <w:color w:val="auto"/>
          <w:sz w:val="22"/>
          <w:szCs w:val="22"/>
        </w:rPr>
        <w:t>トビイロウンカと</w:t>
      </w:r>
      <w:r w:rsidR="004232A9" w:rsidRPr="00C315F2">
        <w:rPr>
          <w:rFonts w:ascii="游明朝" w:eastAsia="游明朝" w:hAnsi="游明朝"/>
          <w:color w:val="auto"/>
          <w:sz w:val="22"/>
          <w:szCs w:val="22"/>
        </w:rPr>
        <w:t>同じ海外飛来性</w:t>
      </w:r>
      <w:r w:rsidR="00967C93">
        <w:rPr>
          <w:rFonts w:ascii="游明朝" w:eastAsia="游明朝" w:hAnsi="游明朝"/>
          <w:color w:val="auto"/>
          <w:sz w:val="22"/>
          <w:szCs w:val="22"/>
        </w:rPr>
        <w:t>の</w:t>
      </w:r>
      <w:r w:rsidR="004232A9" w:rsidRPr="00C315F2">
        <w:rPr>
          <w:rFonts w:ascii="游明朝" w:eastAsia="游明朝" w:hAnsi="游明朝"/>
          <w:color w:val="auto"/>
          <w:sz w:val="22"/>
          <w:szCs w:val="22"/>
        </w:rPr>
        <w:t>セジロウンカは、</w:t>
      </w:r>
      <w:r w:rsidR="00C315F2" w:rsidRPr="00C315F2">
        <w:rPr>
          <w:rFonts w:ascii="游明朝" w:eastAsia="游明朝" w:hAnsi="游明朝"/>
          <w:color w:val="auto"/>
          <w:sz w:val="22"/>
          <w:szCs w:val="22"/>
        </w:rPr>
        <w:t>県北部と南部において</w:t>
      </w:r>
      <w:r w:rsidR="004232A9" w:rsidRPr="00C315F2">
        <w:rPr>
          <w:rFonts w:ascii="游明朝" w:eastAsia="游明朝" w:hAnsi="游明朝"/>
          <w:color w:val="auto"/>
          <w:sz w:val="22"/>
          <w:szCs w:val="22"/>
        </w:rPr>
        <w:t>早期水稲10圃場中</w:t>
      </w:r>
      <w:r w:rsidR="008D470B" w:rsidRPr="00C315F2">
        <w:rPr>
          <w:rFonts w:ascii="游明朝" w:eastAsia="游明朝" w:hAnsi="游明朝"/>
          <w:color w:val="auto"/>
          <w:sz w:val="22"/>
          <w:szCs w:val="22"/>
        </w:rPr>
        <w:t>３</w:t>
      </w:r>
      <w:r w:rsidR="004232A9" w:rsidRPr="00C315F2">
        <w:rPr>
          <w:rFonts w:ascii="游明朝" w:eastAsia="游明朝" w:hAnsi="游明朝"/>
          <w:color w:val="auto"/>
          <w:sz w:val="22"/>
          <w:szCs w:val="22"/>
        </w:rPr>
        <w:t>圃場で終齢幼虫を含む幼虫を確認した。また、</w:t>
      </w:r>
      <w:r w:rsidR="00C315F2" w:rsidRPr="00C315F2">
        <w:rPr>
          <w:rFonts w:ascii="游明朝" w:eastAsia="游明朝" w:hAnsi="游明朝"/>
          <w:color w:val="auto"/>
          <w:sz w:val="22"/>
          <w:szCs w:val="22"/>
        </w:rPr>
        <w:t>県西部において</w:t>
      </w:r>
      <w:r w:rsidR="004232A9" w:rsidRPr="00C315F2">
        <w:rPr>
          <w:rFonts w:ascii="游明朝" w:eastAsia="游明朝" w:hAnsi="游明朝"/>
          <w:color w:val="auto"/>
          <w:sz w:val="22"/>
          <w:szCs w:val="22"/>
        </w:rPr>
        <w:t>普通期水稲</w:t>
      </w:r>
      <w:r w:rsidR="008D470B" w:rsidRPr="00C315F2">
        <w:rPr>
          <w:rFonts w:ascii="游明朝" w:eastAsia="游明朝" w:hAnsi="游明朝"/>
          <w:color w:val="auto"/>
          <w:sz w:val="22"/>
          <w:szCs w:val="22"/>
        </w:rPr>
        <w:t>８</w:t>
      </w:r>
      <w:r w:rsidR="004232A9" w:rsidRPr="00C315F2">
        <w:rPr>
          <w:rFonts w:ascii="游明朝" w:eastAsia="游明朝" w:hAnsi="游明朝"/>
          <w:color w:val="auto"/>
          <w:sz w:val="22"/>
          <w:szCs w:val="22"/>
        </w:rPr>
        <w:t>圃場中１圃場でセジロウンカの若齢幼虫を確認した</w:t>
      </w:r>
      <w:r w:rsidR="00596C74">
        <w:rPr>
          <w:rFonts w:ascii="游明朝" w:eastAsia="游明朝" w:hAnsi="游明朝"/>
          <w:color w:val="auto"/>
          <w:sz w:val="22"/>
          <w:szCs w:val="22"/>
        </w:rPr>
        <w:t>ことから、県内全域でトビイロウンカが飛来した可能性がある。</w:t>
      </w:r>
    </w:p>
    <w:p w:rsidR="00F33D1B" w:rsidRDefault="00894408" w:rsidP="00495311">
      <w:pPr>
        <w:spacing w:line="241" w:lineRule="exact"/>
        <w:ind w:left="758" w:hangingChars="300" w:hanging="758"/>
        <w:rPr>
          <w:rFonts w:ascii="游明朝" w:eastAsia="游明朝" w:hAnsi="游明朝" w:hint="default"/>
          <w:color w:val="auto"/>
          <w:sz w:val="22"/>
          <w:szCs w:val="22"/>
        </w:rPr>
      </w:pPr>
      <w:r w:rsidRPr="00967C93">
        <w:rPr>
          <w:rFonts w:ascii="游明朝" w:eastAsia="游明朝" w:hAnsi="游明朝"/>
          <w:color w:val="auto"/>
          <w:sz w:val="22"/>
          <w:szCs w:val="22"/>
        </w:rPr>
        <w:t>（</w:t>
      </w:r>
      <w:r w:rsidR="00F33D1B" w:rsidRPr="00967C93">
        <w:rPr>
          <w:rFonts w:ascii="游明朝" w:eastAsia="游明朝" w:hAnsi="游明朝"/>
          <w:color w:val="auto"/>
          <w:sz w:val="22"/>
          <w:szCs w:val="22"/>
        </w:rPr>
        <w:t>３</w:t>
      </w:r>
      <w:r w:rsidRPr="00967C93">
        <w:rPr>
          <w:rFonts w:ascii="游明朝" w:eastAsia="游明朝" w:hAnsi="游明朝"/>
          <w:color w:val="auto"/>
          <w:sz w:val="22"/>
          <w:szCs w:val="22"/>
        </w:rPr>
        <w:t>）</w:t>
      </w:r>
      <w:r w:rsidR="005B7BEA">
        <w:rPr>
          <w:rFonts w:ascii="游明朝" w:eastAsia="游明朝" w:hAnsi="游明朝"/>
          <w:color w:val="auto"/>
          <w:sz w:val="22"/>
          <w:szCs w:val="22"/>
        </w:rPr>
        <w:t>福岡管区気象台が</w:t>
      </w:r>
      <w:r w:rsidR="00FC2DBE">
        <w:rPr>
          <w:rFonts w:ascii="游明朝" w:eastAsia="游明朝" w:hAnsi="游明朝"/>
          <w:color w:val="auto"/>
          <w:sz w:val="22"/>
          <w:szCs w:val="22"/>
        </w:rPr>
        <w:t>６月13日</w:t>
      </w:r>
      <w:r w:rsidR="005B7BEA">
        <w:rPr>
          <w:rFonts w:ascii="游明朝" w:eastAsia="游明朝" w:hAnsi="游明朝"/>
          <w:color w:val="auto"/>
          <w:sz w:val="22"/>
          <w:szCs w:val="22"/>
        </w:rPr>
        <w:t>に発表した</w:t>
      </w:r>
      <w:r w:rsidR="00FC2DBE">
        <w:rPr>
          <w:rFonts w:ascii="游明朝" w:eastAsia="游明朝" w:hAnsi="游明朝"/>
          <w:color w:val="auto"/>
          <w:sz w:val="22"/>
          <w:szCs w:val="22"/>
        </w:rPr>
        <w:t>向こう1か月の気象予報によれば、</w:t>
      </w:r>
      <w:r w:rsidR="005B7BEA">
        <w:rPr>
          <w:rFonts w:ascii="游明朝" w:eastAsia="游明朝" w:hAnsi="游明朝"/>
          <w:color w:val="auto"/>
          <w:sz w:val="22"/>
          <w:szCs w:val="22"/>
        </w:rPr>
        <w:t>気温は高い確率50％、平年並40％、降水量は多い確率40％、平年並40％と予想されており、トビイロウンカの増殖好適条件が</w:t>
      </w:r>
      <w:r w:rsidR="00495311">
        <w:rPr>
          <w:rFonts w:ascii="游明朝" w:eastAsia="游明朝" w:hAnsi="游明朝"/>
          <w:color w:val="auto"/>
          <w:sz w:val="22"/>
          <w:szCs w:val="22"/>
        </w:rPr>
        <w:t>続くと考えられる。</w:t>
      </w:r>
    </w:p>
    <w:p w:rsidR="00967C93" w:rsidRPr="00271EDF" w:rsidRDefault="00967C93" w:rsidP="00495311">
      <w:pPr>
        <w:spacing w:line="241" w:lineRule="exact"/>
        <w:ind w:left="758" w:hangingChars="300" w:hanging="758"/>
        <w:rPr>
          <w:rFonts w:hAnsi="ＭＳ 明朝" w:hint="default"/>
          <w:color w:val="FF0000"/>
          <w:sz w:val="22"/>
          <w:szCs w:val="22"/>
        </w:rPr>
      </w:pPr>
    </w:p>
    <w:p w:rsidR="00894408" w:rsidRPr="00596C74" w:rsidRDefault="00894408">
      <w:pPr>
        <w:spacing w:line="241" w:lineRule="exact"/>
        <w:rPr>
          <w:rFonts w:ascii="游明朝" w:eastAsia="游明朝" w:hAnsi="游明朝" w:hint="default"/>
          <w:color w:val="auto"/>
          <w:sz w:val="22"/>
          <w:szCs w:val="22"/>
        </w:rPr>
      </w:pPr>
      <w:r w:rsidRPr="00596C74">
        <w:rPr>
          <w:rFonts w:ascii="游明朝" w:eastAsia="游明朝" w:hAnsi="游明朝"/>
          <w:color w:val="auto"/>
          <w:sz w:val="22"/>
          <w:szCs w:val="22"/>
        </w:rPr>
        <w:t>７　防除上注意すべき事項</w:t>
      </w:r>
    </w:p>
    <w:p w:rsidR="00245608" w:rsidRPr="00596C74" w:rsidRDefault="00F9410E" w:rsidP="00F9410E">
      <w:pPr>
        <w:spacing w:line="241" w:lineRule="exact"/>
        <w:ind w:left="758" w:hangingChars="300" w:hanging="758"/>
        <w:rPr>
          <w:rFonts w:ascii="游明朝" w:eastAsia="游明朝" w:hAnsi="游明朝" w:hint="default"/>
          <w:color w:val="auto"/>
          <w:sz w:val="22"/>
          <w:szCs w:val="22"/>
        </w:rPr>
      </w:pPr>
      <w:r w:rsidRPr="00596C74">
        <w:rPr>
          <w:rFonts w:ascii="游明朝" w:eastAsia="游明朝" w:hAnsi="游明朝"/>
          <w:color w:val="auto"/>
          <w:sz w:val="22"/>
          <w:szCs w:val="22"/>
        </w:rPr>
        <w:t>（１）本虫は株元に生息するので、薬剤が株元に到達するように散布する。また、畦畔よりも水田の中央部に発生しやすいので水田内をよく確認する。</w:t>
      </w:r>
    </w:p>
    <w:p w:rsidR="00F9410E" w:rsidRPr="00596C74" w:rsidRDefault="00F9410E" w:rsidP="00F9410E">
      <w:pPr>
        <w:spacing w:line="241" w:lineRule="exact"/>
        <w:ind w:left="758" w:hangingChars="300" w:hanging="758"/>
        <w:rPr>
          <w:rFonts w:ascii="游明朝" w:eastAsia="游明朝" w:hAnsi="游明朝" w:hint="default"/>
          <w:color w:val="auto"/>
          <w:sz w:val="22"/>
          <w:szCs w:val="22"/>
        </w:rPr>
      </w:pPr>
      <w:r w:rsidRPr="00596C74">
        <w:rPr>
          <w:rFonts w:ascii="游明朝" w:eastAsia="游明朝" w:hAnsi="游明朝"/>
          <w:color w:val="auto"/>
          <w:sz w:val="22"/>
          <w:szCs w:val="22"/>
        </w:rPr>
        <w:t>（２）地域によって本虫の飛来時期は異なる場合があるので、本虫の発生を認めた場合は、早急に防除を実施する。</w:t>
      </w:r>
    </w:p>
    <w:p w:rsidR="00F9410E" w:rsidRPr="00596C74" w:rsidRDefault="00F9410E" w:rsidP="00F9410E">
      <w:pPr>
        <w:spacing w:line="241" w:lineRule="exact"/>
        <w:ind w:left="758" w:hangingChars="300" w:hanging="758"/>
        <w:rPr>
          <w:rFonts w:ascii="游明朝" w:eastAsia="游明朝" w:hAnsi="游明朝" w:hint="default"/>
          <w:color w:val="auto"/>
          <w:sz w:val="22"/>
          <w:szCs w:val="22"/>
        </w:rPr>
      </w:pPr>
      <w:r w:rsidRPr="00596C74">
        <w:rPr>
          <w:rFonts w:ascii="游明朝" w:eastAsia="游明朝" w:hAnsi="游明朝"/>
          <w:color w:val="auto"/>
          <w:sz w:val="22"/>
          <w:szCs w:val="22"/>
        </w:rPr>
        <w:t>（３）早期水稲においては、出穂期前後の基幹防除に本虫の対象薬剤を選択して防除の徹底を図る。</w:t>
      </w:r>
    </w:p>
    <w:p w:rsidR="00894408" w:rsidRPr="00596C74" w:rsidRDefault="00894408" w:rsidP="00F9410E">
      <w:pPr>
        <w:spacing w:line="241" w:lineRule="exact"/>
        <w:ind w:left="758" w:hangingChars="300" w:hanging="758"/>
        <w:rPr>
          <w:rFonts w:ascii="游明朝" w:eastAsia="游明朝" w:hAnsi="游明朝" w:hint="default"/>
          <w:color w:val="auto"/>
          <w:sz w:val="22"/>
          <w:szCs w:val="22"/>
        </w:rPr>
      </w:pPr>
      <w:r w:rsidRPr="00596C74">
        <w:rPr>
          <w:rFonts w:ascii="游明朝" w:eastAsia="游明朝" w:hAnsi="游明朝"/>
          <w:color w:val="auto"/>
          <w:sz w:val="22"/>
          <w:szCs w:val="22"/>
        </w:rPr>
        <w:t>（</w:t>
      </w:r>
      <w:r w:rsidR="00245608" w:rsidRPr="00596C74">
        <w:rPr>
          <w:rFonts w:ascii="游明朝" w:eastAsia="游明朝" w:hAnsi="游明朝"/>
          <w:color w:val="auto"/>
          <w:sz w:val="22"/>
          <w:szCs w:val="22"/>
        </w:rPr>
        <w:t>４</w:t>
      </w:r>
      <w:r w:rsidRPr="00596C74">
        <w:rPr>
          <w:rFonts w:ascii="游明朝" w:eastAsia="游明朝" w:hAnsi="游明朝"/>
          <w:color w:val="auto"/>
          <w:sz w:val="22"/>
          <w:szCs w:val="22"/>
        </w:rPr>
        <w:t>）動力散粉機や噴霧機を所有していない農家においては、粒剤散布が簡便で坪枯れ防止には有効である。なお、粒剤散布時には湛水状態とする。</w:t>
      </w:r>
    </w:p>
    <w:p w:rsidR="00894408" w:rsidRPr="00596C74" w:rsidRDefault="00894408" w:rsidP="00F9410E">
      <w:pPr>
        <w:spacing w:line="241" w:lineRule="exact"/>
        <w:ind w:left="758" w:hangingChars="300" w:hanging="758"/>
        <w:rPr>
          <w:rFonts w:ascii="游明朝" w:eastAsia="游明朝" w:hAnsi="游明朝" w:hint="default"/>
          <w:color w:val="auto"/>
          <w:sz w:val="22"/>
          <w:szCs w:val="22"/>
        </w:rPr>
      </w:pPr>
      <w:r w:rsidRPr="00596C74">
        <w:rPr>
          <w:rFonts w:ascii="游明朝" w:eastAsia="游明朝" w:hAnsi="游明朝"/>
          <w:color w:val="auto"/>
          <w:sz w:val="22"/>
          <w:szCs w:val="22"/>
        </w:rPr>
        <w:t>（</w:t>
      </w:r>
      <w:r w:rsidR="00F9410E" w:rsidRPr="00596C74">
        <w:rPr>
          <w:rFonts w:ascii="游明朝" w:eastAsia="游明朝" w:hAnsi="游明朝"/>
          <w:color w:val="auto"/>
          <w:sz w:val="22"/>
          <w:szCs w:val="22"/>
        </w:rPr>
        <w:t>５</w:t>
      </w:r>
      <w:r w:rsidRPr="00596C74">
        <w:rPr>
          <w:rFonts w:ascii="游明朝" w:eastAsia="游明朝" w:hAnsi="游明朝"/>
          <w:color w:val="auto"/>
          <w:sz w:val="22"/>
          <w:szCs w:val="22"/>
        </w:rPr>
        <w:t>）箱苗用の長期残効薬剤を施用した場合は２～３か月の効果が期待できるが、降雨が多い</w:t>
      </w:r>
      <w:r w:rsidR="00F9410E" w:rsidRPr="00596C74">
        <w:rPr>
          <w:rFonts w:ascii="游明朝" w:eastAsia="游明朝" w:hAnsi="游明朝"/>
          <w:color w:val="auto"/>
          <w:sz w:val="22"/>
          <w:szCs w:val="22"/>
        </w:rPr>
        <w:t>場合は</w:t>
      </w:r>
      <w:r w:rsidRPr="00596C74">
        <w:rPr>
          <w:rFonts w:ascii="游明朝" w:eastAsia="游明朝" w:hAnsi="游明朝"/>
          <w:color w:val="auto"/>
          <w:sz w:val="22"/>
          <w:szCs w:val="22"/>
        </w:rPr>
        <w:t>残効が短くなる可能性もあるので、本田における発生状況を確認する</w:t>
      </w:r>
      <w:r w:rsidR="00F9410E" w:rsidRPr="00596C74">
        <w:rPr>
          <w:rFonts w:ascii="游明朝" w:eastAsia="游明朝" w:hAnsi="游明朝"/>
          <w:color w:val="auto"/>
          <w:sz w:val="22"/>
          <w:szCs w:val="22"/>
        </w:rPr>
        <w:t>。</w:t>
      </w:r>
    </w:p>
    <w:p w:rsidR="00833CD6" w:rsidRDefault="00E24672" w:rsidP="00DC4DC2">
      <w:pPr>
        <w:spacing w:line="241" w:lineRule="exact"/>
        <w:ind w:left="758" w:hangingChars="300" w:hanging="758"/>
        <w:rPr>
          <w:rFonts w:ascii="游明朝" w:eastAsia="游明朝" w:hAnsi="游明朝" w:hint="default"/>
          <w:color w:val="auto"/>
          <w:sz w:val="22"/>
          <w:szCs w:val="22"/>
        </w:rPr>
      </w:pPr>
      <w:r>
        <w:rPr>
          <w:rFonts w:ascii="游明朝" w:eastAsia="游明朝" w:hAnsi="游明朝"/>
          <w:noProof/>
          <w:color w:val="auto"/>
          <w:sz w:val="22"/>
          <w:szCs w:val="22"/>
        </w:rPr>
        <w:drawing>
          <wp:anchor distT="0" distB="0" distL="114300" distR="114300" simplePos="0" relativeHeight="251657728" behindDoc="0" locked="0" layoutInCell="1" allowOverlap="1">
            <wp:simplePos x="0" y="0"/>
            <wp:positionH relativeFrom="column">
              <wp:posOffset>4509770</wp:posOffset>
            </wp:positionH>
            <wp:positionV relativeFrom="paragraph">
              <wp:posOffset>659765</wp:posOffset>
            </wp:positionV>
            <wp:extent cx="1048385" cy="104267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DC2" w:rsidRPr="00596C74">
        <w:rPr>
          <w:rFonts w:ascii="游明朝" w:eastAsia="游明朝" w:hAnsi="游明朝"/>
          <w:color w:val="auto"/>
          <w:sz w:val="22"/>
          <w:szCs w:val="22"/>
        </w:rPr>
        <w:t>（６）</w:t>
      </w:r>
      <w:r w:rsidR="00833CD6" w:rsidRPr="00596C74">
        <w:rPr>
          <w:rFonts w:ascii="游明朝" w:eastAsia="游明朝" w:hAnsi="游明朝"/>
          <w:color w:val="auto"/>
          <w:sz w:val="22"/>
          <w:szCs w:val="22"/>
        </w:rPr>
        <w:t>防除薬剤は、大分県農林水産研究指導センター農業研究部病害虫対策チームホームページ内にある「大分県主要農作物病害虫及び雑草防除指導指針」を参照する。なお、薬剤によっては指針の更新日以降に登録内容が変更されて</w:t>
      </w:r>
      <w:r w:rsidR="00833CD6" w:rsidRPr="00833CD6">
        <w:rPr>
          <w:rFonts w:ascii="游明朝" w:eastAsia="游明朝" w:hAnsi="游明朝"/>
          <w:color w:val="auto"/>
          <w:sz w:val="22"/>
          <w:szCs w:val="22"/>
        </w:rPr>
        <w:t>いる場合があるため、容器のラベルに記載されている使用時期、使用回数等を遵守して使用する。</w:t>
      </w:r>
    </w:p>
    <w:p w:rsidR="00E24672" w:rsidRDefault="00E24672" w:rsidP="00DC4DC2">
      <w:pPr>
        <w:spacing w:line="241" w:lineRule="exact"/>
        <w:ind w:left="758" w:hangingChars="300" w:hanging="758"/>
        <w:rPr>
          <w:rFonts w:ascii="游明朝" w:eastAsia="游明朝" w:hAnsi="游明朝" w:hint="default"/>
          <w:color w:val="auto"/>
          <w:sz w:val="22"/>
          <w:szCs w:val="22"/>
        </w:rPr>
      </w:pPr>
    </w:p>
    <w:p w:rsidR="00833CD6" w:rsidRDefault="00833CD6" w:rsidP="00DC4DC2">
      <w:pPr>
        <w:spacing w:line="241" w:lineRule="exact"/>
        <w:ind w:left="758" w:hangingChars="300" w:hanging="758"/>
        <w:rPr>
          <w:rFonts w:ascii="游明朝" w:eastAsia="游明朝" w:hAnsi="游明朝" w:hint="default"/>
          <w:color w:val="auto"/>
          <w:sz w:val="22"/>
          <w:szCs w:val="22"/>
        </w:rPr>
      </w:pPr>
      <w:r>
        <w:rPr>
          <w:rFonts w:ascii="游明朝" w:eastAsia="游明朝" w:hAnsi="游明朝"/>
          <w:color w:val="auto"/>
          <w:sz w:val="22"/>
          <w:szCs w:val="22"/>
        </w:rPr>
        <w:t xml:space="preserve">　　　　病害虫対策チームホームページ</w:t>
      </w:r>
    </w:p>
    <w:p w:rsidR="00E24672" w:rsidRDefault="00E24672" w:rsidP="00DC4DC2">
      <w:pPr>
        <w:spacing w:line="241" w:lineRule="exact"/>
        <w:ind w:left="758" w:hangingChars="300" w:hanging="758"/>
        <w:rPr>
          <w:rFonts w:ascii="游明朝" w:eastAsia="游明朝" w:hAnsi="游明朝" w:hint="default"/>
          <w:color w:val="auto"/>
          <w:sz w:val="22"/>
          <w:szCs w:val="22"/>
        </w:rPr>
      </w:pPr>
    </w:p>
    <w:p w:rsidR="00833CD6" w:rsidRDefault="00833CD6" w:rsidP="00DC4DC2">
      <w:pPr>
        <w:spacing w:line="241" w:lineRule="exact"/>
        <w:ind w:left="758" w:hangingChars="300" w:hanging="758"/>
        <w:rPr>
          <w:rFonts w:ascii="游明朝" w:eastAsia="游明朝" w:hAnsi="游明朝" w:hint="default"/>
          <w:color w:val="auto"/>
          <w:sz w:val="22"/>
          <w:szCs w:val="22"/>
        </w:rPr>
      </w:pPr>
      <w:r>
        <w:rPr>
          <w:rFonts w:ascii="游明朝" w:eastAsia="游明朝" w:hAnsi="游明朝"/>
          <w:color w:val="auto"/>
          <w:sz w:val="22"/>
          <w:szCs w:val="22"/>
        </w:rPr>
        <w:t xml:space="preserve">　　　　　https</w:t>
      </w:r>
      <w:r>
        <w:rPr>
          <w:rFonts w:ascii="游明朝" w:eastAsia="游明朝" w:hAnsi="游明朝" w:hint="default"/>
          <w:color w:val="auto"/>
          <w:sz w:val="22"/>
          <w:szCs w:val="22"/>
        </w:rPr>
        <w:t>://</w:t>
      </w:r>
      <w:r w:rsidRPr="00833CD6">
        <w:rPr>
          <w:rFonts w:ascii="游明朝" w:eastAsia="游明朝" w:hAnsi="游明朝" w:hint="default"/>
          <w:sz w:val="22"/>
          <w:szCs w:val="22"/>
        </w:rPr>
        <w:t xml:space="preserve"> www.pref.oita.jp/site/oita-boujosho/</w:t>
      </w:r>
    </w:p>
    <w:sectPr w:rsidR="00833CD6" w:rsidSect="0032534F">
      <w:footnotePr>
        <w:numRestart w:val="eachPage"/>
      </w:footnotePr>
      <w:endnotePr>
        <w:numFmt w:val="decimal"/>
      </w:endnotePr>
      <w:pgSz w:w="11906" w:h="16838" w:code="9"/>
      <w:pgMar w:top="1418" w:right="1418" w:bottom="1418" w:left="1418" w:header="340" w:footer="0" w:gutter="0"/>
      <w:cols w:space="720"/>
      <w:docGrid w:type="linesAndChars" w:linePitch="274" w:charSpace="6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BB" w:rsidRDefault="00236ABB">
      <w:pPr>
        <w:spacing w:before="367"/>
        <w:rPr>
          <w:rFonts w:hint="default"/>
        </w:rPr>
      </w:pPr>
      <w:r>
        <w:continuationSeparator/>
      </w:r>
    </w:p>
  </w:endnote>
  <w:endnote w:type="continuationSeparator" w:id="0">
    <w:p w:rsidR="00236ABB" w:rsidRDefault="00236AB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BB" w:rsidRDefault="00236ABB">
      <w:pPr>
        <w:spacing w:before="367"/>
        <w:rPr>
          <w:rFonts w:hint="default"/>
        </w:rPr>
      </w:pPr>
      <w:r>
        <w:continuationSeparator/>
      </w:r>
    </w:p>
  </w:footnote>
  <w:footnote w:type="continuationSeparator" w:id="0">
    <w:p w:rsidR="00236ABB" w:rsidRDefault="00236ABB">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6E7"/>
    <w:multiLevelType w:val="hybridMultilevel"/>
    <w:tmpl w:val="F2C413F4"/>
    <w:lvl w:ilvl="0" w:tplc="F912D316">
      <w:start w:val="1"/>
      <w:numFmt w:val="decimalFullWidth"/>
      <w:lvlText w:val="（%1）"/>
      <w:lvlJc w:val="left"/>
      <w:pPr>
        <w:ind w:left="1980" w:hanging="420"/>
      </w:pPr>
      <w:rPr>
        <w:rFonts w:hint="eastAsia"/>
        <w:color w:val="auto"/>
      </w:rPr>
    </w:lvl>
    <w:lvl w:ilvl="1" w:tplc="04090017" w:tentative="1">
      <w:start w:val="1"/>
      <w:numFmt w:val="aiueoFullWidth"/>
      <w:lvlText w:val="(%2)"/>
      <w:lvlJc w:val="left"/>
      <w:pPr>
        <w:ind w:left="-480" w:hanging="420"/>
      </w:pPr>
    </w:lvl>
    <w:lvl w:ilvl="2" w:tplc="04090011">
      <w:start w:val="1"/>
      <w:numFmt w:val="decimalEnclosedCircle"/>
      <w:lvlText w:val="%3"/>
      <w:lvlJc w:val="left"/>
      <w:pPr>
        <w:ind w:left="-60" w:hanging="420"/>
      </w:pPr>
    </w:lvl>
    <w:lvl w:ilvl="3" w:tplc="0409000F">
      <w:start w:val="1"/>
      <w:numFmt w:val="decimal"/>
      <w:lvlText w:val="%4."/>
      <w:lvlJc w:val="left"/>
      <w:pPr>
        <w:ind w:left="360" w:hanging="420"/>
      </w:pPr>
    </w:lvl>
    <w:lvl w:ilvl="4" w:tplc="04090017" w:tentative="1">
      <w:start w:val="1"/>
      <w:numFmt w:val="aiueoFullWidth"/>
      <w:lvlText w:val="(%5)"/>
      <w:lvlJc w:val="left"/>
      <w:pPr>
        <w:ind w:left="780" w:hanging="420"/>
      </w:pPr>
    </w:lvl>
    <w:lvl w:ilvl="5" w:tplc="04090011" w:tentative="1">
      <w:start w:val="1"/>
      <w:numFmt w:val="decimalEnclosedCircle"/>
      <w:lvlText w:val="%6"/>
      <w:lvlJc w:val="left"/>
      <w:pPr>
        <w:ind w:left="1200" w:hanging="420"/>
      </w:pPr>
    </w:lvl>
    <w:lvl w:ilvl="6" w:tplc="0409000F" w:tentative="1">
      <w:start w:val="1"/>
      <w:numFmt w:val="decimal"/>
      <w:lvlText w:val="%7."/>
      <w:lvlJc w:val="left"/>
      <w:pPr>
        <w:ind w:left="1620" w:hanging="420"/>
      </w:pPr>
    </w:lvl>
    <w:lvl w:ilvl="7" w:tplc="04090017" w:tentative="1">
      <w:start w:val="1"/>
      <w:numFmt w:val="aiueoFullWidth"/>
      <w:lvlText w:val="(%8)"/>
      <w:lvlJc w:val="left"/>
      <w:pPr>
        <w:ind w:left="2040" w:hanging="420"/>
      </w:pPr>
    </w:lvl>
    <w:lvl w:ilvl="8" w:tplc="04090011" w:tentative="1">
      <w:start w:val="1"/>
      <w:numFmt w:val="decimalEnclosedCircle"/>
      <w:lvlText w:val="%9"/>
      <w:lvlJc w:val="left"/>
      <w:pPr>
        <w:ind w:left="2460" w:hanging="420"/>
      </w:pPr>
    </w:lvl>
  </w:abstractNum>
  <w:abstractNum w:abstractNumId="1" w15:restartNumberingAfterBreak="0">
    <w:nsid w:val="72E51686"/>
    <w:multiLevelType w:val="hybridMultilevel"/>
    <w:tmpl w:val="1EF4D454"/>
    <w:lvl w:ilvl="0" w:tplc="24BA74A8">
      <w:start w:val="1"/>
      <w:numFmt w:val="decimalFullWidth"/>
      <w:lvlText w:val="（%1）"/>
      <w:lvlJc w:val="left"/>
      <w:pPr>
        <w:ind w:left="1474" w:hanging="765"/>
      </w:pPr>
      <w:rPr>
        <w:rFonts w:ascii="游明朝" w:eastAsia="游明朝" w:hAnsi="游明朝" w:cs="Times New Roman"/>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0"/>
  <w:hyphenationZone w:val="0"/>
  <w:drawingGridHorizontalSpacing w:val="409"/>
  <w:drawingGridVerticalSpacing w:val="137"/>
  <w:displayHorizontalDrawingGridEvery w:val="0"/>
  <w:displayVerticalDrawingGridEvery w:val="2"/>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8D"/>
    <w:rsid w:val="00236ABB"/>
    <w:rsid w:val="00245608"/>
    <w:rsid w:val="00271EDF"/>
    <w:rsid w:val="0032534F"/>
    <w:rsid w:val="004232A9"/>
    <w:rsid w:val="00495311"/>
    <w:rsid w:val="004B72B3"/>
    <w:rsid w:val="00596C74"/>
    <w:rsid w:val="005B7BEA"/>
    <w:rsid w:val="005F61B0"/>
    <w:rsid w:val="006D4E30"/>
    <w:rsid w:val="00712AD4"/>
    <w:rsid w:val="00815DF8"/>
    <w:rsid w:val="00833CD6"/>
    <w:rsid w:val="00894408"/>
    <w:rsid w:val="008D470B"/>
    <w:rsid w:val="00967C93"/>
    <w:rsid w:val="00C315F2"/>
    <w:rsid w:val="00DC4DC2"/>
    <w:rsid w:val="00E24672"/>
    <w:rsid w:val="00F33D1B"/>
    <w:rsid w:val="00F9410E"/>
    <w:rsid w:val="00FC2DBE"/>
    <w:rsid w:val="00FC7B8C"/>
    <w:rsid w:val="00FE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306BEA3-2294-45F9-9A7C-4D5E844F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CD6"/>
    <w:pPr>
      <w:widowControl w:val="0"/>
      <w:suppressAutoHyphens/>
      <w:wordWrap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3">
    <w:name w:val="Body Text 3"/>
    <w:basedOn w:val="a"/>
    <w:pPr>
      <w:jc w:val="right"/>
    </w:pPr>
    <w:rPr>
      <w:rFonts w:hAnsi="ＭＳ 明朝"/>
      <w:sz w:val="21"/>
    </w:rPr>
  </w:style>
  <w:style w:type="paragraph" w:styleId="a4">
    <w:name w:val="header"/>
    <w:basedOn w:val="a"/>
    <w:rPr>
      <w:rFonts w:ascii="Century" w:hAnsi="Century"/>
      <w:sz w:val="21"/>
    </w:rPr>
  </w:style>
  <w:style w:type="paragraph" w:styleId="a5">
    <w:name w:val="Plain Text"/>
    <w:basedOn w:val="a"/>
    <w:rPr>
      <w:rFonts w:hAnsi="ＭＳ 明朝"/>
      <w:sz w:val="21"/>
    </w:rPr>
  </w:style>
  <w:style w:type="paragraph" w:styleId="a6">
    <w:name w:val="footer"/>
    <w:basedOn w:val="a"/>
    <w:rPr>
      <w:rFonts w:ascii="Century" w:hAnsi="Century"/>
      <w:sz w:val="21"/>
    </w:rPr>
  </w:style>
  <w:style w:type="paragraph" w:customStyle="1" w:styleId="a7">
    <w:name w:val="一太郎８/９"/>
    <w:basedOn w:val="a"/>
    <w:rPr>
      <w:rFonts w:asci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1045</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大分県病害虫防除所</dc:creator>
  <cp:keywords/>
  <cp:lastModifiedBy>oitapref</cp:lastModifiedBy>
  <cp:revision>4</cp:revision>
  <cp:lastPrinted>2019-08-02T07:31:00Z</cp:lastPrinted>
  <dcterms:created xsi:type="dcterms:W3CDTF">2024-06-19T05:51:00Z</dcterms:created>
  <dcterms:modified xsi:type="dcterms:W3CDTF">2024-06-19T06:17:00Z</dcterms:modified>
</cp:coreProperties>
</file>